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5EA" w:rsidRPr="00E97BA8" w:rsidRDefault="00CB1BC2">
      <w:pPr>
        <w:pStyle w:val="Nagwek"/>
        <w:jc w:val="center"/>
        <w:rPr>
          <w:rFonts w:ascii="Tahoma" w:hAnsi="Tahoma" w:cs="Tahoma"/>
          <w:i/>
          <w:color w:val="0000FF"/>
          <w:sz w:val="28"/>
          <w:szCs w:val="28"/>
        </w:rPr>
      </w:pPr>
      <w:r>
        <w:rPr>
          <w:rFonts w:ascii="Tahoma" w:hAnsi="Tahoma" w:cs="Tahoma"/>
          <w:noProof/>
          <w:color w:val="0000FF"/>
          <w:sz w:val="28"/>
          <w:szCs w:val="28"/>
        </w:rPr>
        <w:drawing>
          <wp:inline distT="0" distB="0" distL="0" distR="0">
            <wp:extent cx="320040" cy="365760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P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olska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F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ederacja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S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towarzyszeń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R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zeczoznawców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M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>ajątkowych</w:t>
      </w:r>
    </w:p>
    <w:p w:rsidR="004D401F" w:rsidRPr="00C73787" w:rsidRDefault="00B345EA" w:rsidP="00C73787">
      <w:pPr>
        <w:pStyle w:val="Nagwek"/>
        <w:jc w:val="center"/>
        <w:rPr>
          <w:rFonts w:ascii="Tahoma" w:hAnsi="Tahoma" w:cs="Tahoma"/>
          <w:i/>
          <w:color w:val="0000FF"/>
          <w:sz w:val="28"/>
          <w:szCs w:val="28"/>
        </w:rPr>
      </w:pPr>
      <w:r w:rsidRPr="00E97BA8">
        <w:rPr>
          <w:rFonts w:ascii="Tahoma" w:hAnsi="Tahoma" w:cs="Tahoma"/>
          <w:i/>
          <w:color w:val="0000FF"/>
          <w:sz w:val="28"/>
          <w:szCs w:val="28"/>
        </w:rPr>
        <w:t>ul. Nowogrodzka 50</w:t>
      </w:r>
      <w:r w:rsidR="000E1EDE">
        <w:rPr>
          <w:rFonts w:ascii="Tahoma" w:hAnsi="Tahoma" w:cs="Tahoma"/>
          <w:i/>
          <w:color w:val="0000FF"/>
          <w:sz w:val="28"/>
          <w:szCs w:val="28"/>
        </w:rPr>
        <w:t>/54</w:t>
      </w:r>
      <w:r w:rsidRPr="00E97BA8">
        <w:rPr>
          <w:rFonts w:ascii="Tahoma" w:hAnsi="Tahoma" w:cs="Tahoma"/>
          <w:i/>
          <w:color w:val="0000FF"/>
          <w:sz w:val="28"/>
          <w:szCs w:val="28"/>
        </w:rPr>
        <w:t>, 00-695 Warszawa</w:t>
      </w:r>
    </w:p>
    <w:p w:rsidR="00C73787" w:rsidRDefault="00C73787">
      <w:pPr>
        <w:pStyle w:val="Nagwek"/>
        <w:jc w:val="center"/>
        <w:rPr>
          <w:rFonts w:ascii="Tahoma" w:hAnsi="Tahoma" w:cs="Tahoma"/>
          <w:i/>
          <w:color w:val="0000FF"/>
          <w:sz w:val="16"/>
          <w:szCs w:val="16"/>
        </w:rPr>
      </w:pPr>
    </w:p>
    <w:p w:rsidR="009271B7" w:rsidRDefault="009271B7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31F0" w:rsidRDefault="000B31F0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31F0" w:rsidRDefault="000B31F0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31F0" w:rsidRDefault="000B31F0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1B7" w:rsidRDefault="009271B7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3787" w:rsidRPr="00C73787" w:rsidRDefault="00E97BA8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7BA8">
        <w:rPr>
          <w:rFonts w:ascii="Arial" w:hAnsi="Arial" w:cs="Arial"/>
          <w:b/>
          <w:bCs/>
          <w:sz w:val="24"/>
          <w:szCs w:val="24"/>
        </w:rPr>
        <w:t>Praktyczne aspekty wyceny nieruchomości na potrzeby postepowań egzekucyjnych – egzekucje z nieruchomości (KPC).</w:t>
      </w:r>
    </w:p>
    <w:p w:rsidR="00B345EA" w:rsidRDefault="00B345EA" w:rsidP="004D401F">
      <w:pPr>
        <w:pStyle w:val="Nagwek4"/>
        <w:tabs>
          <w:tab w:val="left" w:pos="1843"/>
        </w:tabs>
        <w:jc w:val="center"/>
        <w:rPr>
          <w:rFonts w:ascii="Tahoma" w:hAnsi="Tahoma" w:cs="Tahoma"/>
          <w:color w:val="000000"/>
          <w:u w:val="single"/>
        </w:rPr>
      </w:pPr>
      <w:r w:rsidRPr="004D401F">
        <w:rPr>
          <w:rFonts w:ascii="Tahoma" w:hAnsi="Tahoma" w:cs="Tahoma"/>
          <w:color w:val="000000"/>
          <w:u w:val="single"/>
        </w:rPr>
        <w:t>w dniach</w:t>
      </w:r>
      <w:r w:rsidR="00B45A7F">
        <w:rPr>
          <w:rFonts w:ascii="Tahoma" w:hAnsi="Tahoma" w:cs="Tahoma"/>
          <w:color w:val="000000"/>
          <w:u w:val="single"/>
        </w:rPr>
        <w:t xml:space="preserve"> </w:t>
      </w:r>
      <w:r w:rsidR="004962E7">
        <w:rPr>
          <w:rFonts w:ascii="Tahoma" w:hAnsi="Tahoma" w:cs="Tahoma"/>
          <w:color w:val="000000"/>
          <w:u w:val="single"/>
        </w:rPr>
        <w:t>29-30.10.</w:t>
      </w:r>
      <w:r w:rsidR="00550F3F" w:rsidRPr="004D401F">
        <w:rPr>
          <w:rFonts w:ascii="Tahoma" w:hAnsi="Tahoma" w:cs="Tahoma"/>
          <w:color w:val="000000"/>
          <w:u w:val="single"/>
        </w:rPr>
        <w:t>20</w:t>
      </w:r>
      <w:r w:rsidR="00276982">
        <w:rPr>
          <w:rFonts w:ascii="Tahoma" w:hAnsi="Tahoma" w:cs="Tahoma"/>
          <w:color w:val="000000"/>
          <w:u w:val="single"/>
        </w:rPr>
        <w:t>2</w:t>
      </w:r>
      <w:r w:rsidR="000E1EDE">
        <w:rPr>
          <w:rFonts w:ascii="Tahoma" w:hAnsi="Tahoma" w:cs="Tahoma"/>
          <w:color w:val="000000"/>
          <w:u w:val="single"/>
        </w:rPr>
        <w:t>5</w:t>
      </w:r>
      <w:r w:rsidR="00550F3F" w:rsidRPr="004D401F">
        <w:rPr>
          <w:rFonts w:ascii="Tahoma" w:hAnsi="Tahoma" w:cs="Tahoma"/>
          <w:color w:val="000000"/>
          <w:u w:val="single"/>
        </w:rPr>
        <w:t xml:space="preserve"> r.</w:t>
      </w:r>
    </w:p>
    <w:p w:rsidR="009271B7" w:rsidRDefault="009271B7" w:rsidP="009271B7"/>
    <w:p w:rsidR="009271B7" w:rsidRDefault="009271B7" w:rsidP="009271B7"/>
    <w:p w:rsidR="000B31F0" w:rsidRDefault="000B31F0" w:rsidP="009271B7">
      <w:bookmarkStart w:id="0" w:name="_GoBack"/>
      <w:bookmarkEnd w:id="0"/>
    </w:p>
    <w:p w:rsidR="000E7B04" w:rsidRDefault="000E7B04" w:rsidP="009271B7"/>
    <w:p w:rsidR="000E7B04" w:rsidRPr="009271B7" w:rsidRDefault="000E7B04" w:rsidP="009271B7"/>
    <w:p w:rsidR="004D401F" w:rsidRPr="004D401F" w:rsidRDefault="004D401F" w:rsidP="004D401F"/>
    <w:tbl>
      <w:tblPr>
        <w:tblW w:w="9425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5528"/>
        <w:gridCol w:w="2477"/>
      </w:tblGrid>
      <w:tr w:rsidR="00B345EA" w:rsidRPr="00DC102F" w:rsidTr="000E7B04">
        <w:trPr>
          <w:cantSplit/>
          <w:trHeight w:val="140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D401F" w:rsidRPr="00DC102F" w:rsidRDefault="004D401F" w:rsidP="009C5C85">
            <w:pPr>
              <w:tabs>
                <w:tab w:val="left" w:pos="3544"/>
              </w:tabs>
              <w:rPr>
                <w:rFonts w:ascii="Arial" w:hAnsi="Arial" w:cs="Arial"/>
                <w:b/>
                <w:color w:val="000000"/>
                <w:spacing w:val="20"/>
                <w:u w:val="single"/>
              </w:rPr>
            </w:pPr>
          </w:p>
          <w:p w:rsidR="00B345EA" w:rsidRPr="001207A9" w:rsidRDefault="009256CA" w:rsidP="004D401F">
            <w:pPr>
              <w:tabs>
                <w:tab w:val="left" w:pos="3544"/>
              </w:tabs>
              <w:ind w:left="357" w:hanging="357"/>
              <w:jc w:val="center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I DZIEŃ </w:t>
            </w:r>
            <w:r w:rsidR="004962E7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29 październik </w:t>
            </w:r>
            <w:r w:rsidR="00550F3F" w:rsidRPr="001207A9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20</w:t>
            </w:r>
            <w:r w:rsidR="00276982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2</w:t>
            </w:r>
            <w:r w:rsidR="000E1EDE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5</w:t>
            </w:r>
            <w:r w:rsidR="00550F3F" w:rsidRPr="001207A9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 r.</w:t>
            </w:r>
            <w:r w:rsidR="00276982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 (</w:t>
            </w:r>
            <w:r w:rsidR="00B63160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środa</w:t>
            </w:r>
            <w:r w:rsidR="00E26FA9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)</w:t>
            </w:r>
          </w:p>
          <w:p w:rsidR="004D401F" w:rsidRPr="00DC102F" w:rsidRDefault="004D401F" w:rsidP="009C5C85">
            <w:pPr>
              <w:tabs>
                <w:tab w:val="left" w:pos="3544"/>
              </w:tabs>
              <w:rPr>
                <w:rFonts w:ascii="Arial" w:hAnsi="Arial" w:cs="Arial"/>
                <w:b/>
                <w:color w:val="000000"/>
                <w:spacing w:val="20"/>
                <w:u w:val="single"/>
              </w:rPr>
            </w:pPr>
          </w:p>
        </w:tc>
      </w:tr>
      <w:tr w:rsidR="00B345EA" w:rsidRPr="00DC102F" w:rsidTr="000E7B04">
        <w:trPr>
          <w:trHeight w:val="67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345EA" w:rsidRPr="00DC102F" w:rsidRDefault="004962E7" w:rsidP="009256C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10.30-12.00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B345EA" w:rsidRPr="00DC102F" w:rsidRDefault="0034149E" w:rsidP="00454D84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 xml:space="preserve">Przepisy prawne dotyczące postępowań egzekucyjnych ze szczególnym uwzględnieniem egzekucji z nieruchomości </w:t>
            </w:r>
            <w:r w:rsidR="006B4160">
              <w:rPr>
                <w:rFonts w:ascii="Arial" w:hAnsi="Arial" w:cs="Arial"/>
                <w:color w:val="000000"/>
              </w:rPr>
              <w:t>–</w:t>
            </w:r>
            <w:r w:rsidRPr="00DC102F">
              <w:rPr>
                <w:rFonts w:ascii="Arial" w:hAnsi="Arial" w:cs="Arial"/>
                <w:color w:val="000000"/>
              </w:rPr>
              <w:t xml:space="preserve"> komentarz</w:t>
            </w:r>
            <w:r w:rsidR="006B4160">
              <w:rPr>
                <w:rFonts w:ascii="Arial" w:hAnsi="Arial" w:cs="Arial"/>
                <w:color w:val="000000"/>
              </w:rPr>
              <w:t xml:space="preserve"> – wykład.</w:t>
            </w:r>
          </w:p>
          <w:p w:rsidR="0034149E" w:rsidRDefault="0034149E" w:rsidP="00A37450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0E7B04" w:rsidRPr="00DC102F" w:rsidRDefault="000E7B04" w:rsidP="00A37450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DC102F" w:rsidRDefault="009C5C85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 w:rsidRPr="00DC102F">
              <w:rPr>
                <w:rFonts w:ascii="Arial" w:hAnsi="Arial" w:cs="Arial"/>
                <w:b/>
                <w:color w:val="000000"/>
              </w:rPr>
              <w:t>Krzysztof Pietrzyk</w:t>
            </w:r>
          </w:p>
          <w:p w:rsidR="009C5C85" w:rsidRPr="00DC102F" w:rsidRDefault="009C5C85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komornik</w:t>
            </w:r>
          </w:p>
          <w:p w:rsidR="00B345EA" w:rsidRDefault="009C5C85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- 2 godz.</w:t>
            </w:r>
          </w:p>
          <w:p w:rsidR="001207A9" w:rsidRPr="00DC102F" w:rsidRDefault="001207A9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2EE2" w:rsidRPr="00DC102F" w:rsidTr="000E7B04">
        <w:trPr>
          <w:trHeight w:val="42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133DBE" w:rsidRPr="00DC102F" w:rsidRDefault="004962E7" w:rsidP="009256C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12.00-12.15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  <w:p w:rsidR="007D33CB" w:rsidRPr="00DC102F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207A9" w:rsidRPr="00DC102F" w:rsidTr="000E7B04">
        <w:trPr>
          <w:trHeight w:val="4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CB" w:rsidRPr="00DC102F" w:rsidRDefault="004962E7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12.15-13.45</w:t>
            </w:r>
          </w:p>
          <w:p w:rsidR="00B345EA" w:rsidRPr="00DC102F" w:rsidRDefault="00B345EA" w:rsidP="009256C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B345EA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DC102F">
              <w:rPr>
                <w:rFonts w:ascii="Arial" w:hAnsi="Arial" w:cs="Arial"/>
              </w:rPr>
              <w:t>cd. tematu</w:t>
            </w:r>
            <w:r w:rsidR="006B4160">
              <w:rPr>
                <w:rFonts w:ascii="Arial" w:hAnsi="Arial" w:cs="Arial"/>
              </w:rPr>
              <w:t>.</w:t>
            </w: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 w:rsidP="000E7B04">
            <w:pPr>
              <w:tabs>
                <w:tab w:val="left" w:pos="3544"/>
              </w:tabs>
              <w:rPr>
                <w:rFonts w:ascii="Arial" w:hAnsi="Arial" w:cs="Arial"/>
              </w:rPr>
            </w:pP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DC102F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DC102F">
              <w:rPr>
                <w:rFonts w:ascii="Arial" w:hAnsi="Arial" w:cs="Arial"/>
                <w:b/>
                <w:color w:val="000000"/>
              </w:rPr>
              <w:t>Krzysztof Pietrzyk</w:t>
            </w:r>
          </w:p>
          <w:p w:rsidR="009C5C85" w:rsidRPr="00DC102F" w:rsidRDefault="009C5C85" w:rsidP="001207A9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komornik</w:t>
            </w:r>
          </w:p>
          <w:p w:rsidR="009C5C85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- 2 godz.</w:t>
            </w:r>
          </w:p>
          <w:p w:rsidR="001207A9" w:rsidRP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2EE2" w:rsidRPr="00DC102F" w:rsidTr="000E7B04">
        <w:trPr>
          <w:trHeight w:val="3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4962E7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13.45-14.15</w:t>
            </w:r>
          </w:p>
          <w:p w:rsidR="00133DBE" w:rsidRPr="00DC102F" w:rsidRDefault="00133DBE" w:rsidP="009256C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>Przerwa</w:t>
            </w:r>
            <w:r w:rsidR="007D33CB" w:rsidRPr="00DC102F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7D33CB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207A9" w:rsidRPr="00DC102F" w:rsidTr="000E7B04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4962E7" w:rsidP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14.15-15.45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B345EA" w:rsidRPr="00DC102F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DC102F">
              <w:rPr>
                <w:rFonts w:ascii="Arial" w:hAnsi="Arial" w:cs="Arial"/>
              </w:rPr>
              <w:t>cd. tematu</w:t>
            </w:r>
            <w:r w:rsidR="006B4160">
              <w:rPr>
                <w:rFonts w:ascii="Arial" w:hAnsi="Arial" w:cs="Arial"/>
              </w:rPr>
              <w:t>.</w:t>
            </w:r>
          </w:p>
          <w:p w:rsidR="007D33CB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DC102F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DC102F">
              <w:rPr>
                <w:rFonts w:ascii="Arial" w:hAnsi="Arial" w:cs="Arial"/>
                <w:b/>
                <w:color w:val="000000"/>
              </w:rPr>
              <w:t>Krzysztof Pietrzyk</w:t>
            </w:r>
          </w:p>
          <w:p w:rsidR="009C5C85" w:rsidRPr="00DC102F" w:rsidRDefault="009C5C85" w:rsidP="001207A9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komornik</w:t>
            </w:r>
          </w:p>
          <w:p w:rsidR="009C5C85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- 2 godz.</w:t>
            </w:r>
          </w:p>
          <w:p w:rsidR="001207A9" w:rsidRP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2EE2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7D33CB" w:rsidRPr="00DC102F" w:rsidRDefault="00B63160" w:rsidP="00B63160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15.45-16.00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B345EA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7D33CB" w:rsidRPr="00DC102F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C5C85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</w:p>
          <w:p w:rsidR="00B345EA" w:rsidRPr="00DC102F" w:rsidRDefault="00B63160" w:rsidP="009256C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  <w:r w:rsidR="00ED7CD5">
              <w:rPr>
                <w:rFonts w:ascii="Arial" w:hAnsi="Arial" w:cs="Arial"/>
                <w:b/>
              </w:rPr>
              <w:t>00-16.45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D5" w:rsidRDefault="00ED7CD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5EA" w:rsidRPr="00ED7CD5" w:rsidRDefault="00ED7CD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CD5">
              <w:rPr>
                <w:rFonts w:ascii="Arial" w:hAnsi="Arial" w:cs="Arial"/>
                <w:sz w:val="20"/>
                <w:szCs w:val="20"/>
              </w:rPr>
              <w:t xml:space="preserve">Wycena wariantowa na potrzeby egzekucji oraz przykłady asertywnej komunikacji ze stronami postępowania egzekucyjnego </w:t>
            </w:r>
          </w:p>
          <w:p w:rsidR="000E7B04" w:rsidRDefault="000E7B04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B04" w:rsidRPr="00B119AD" w:rsidRDefault="000E7B04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CB" w:rsidRPr="00DC102F" w:rsidRDefault="007D33CB" w:rsidP="007D33CB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</w:rPr>
            </w:pPr>
          </w:p>
          <w:p w:rsidR="00B119AD" w:rsidRPr="00454D84" w:rsidRDefault="00B119AD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 w:rsidRPr="00454D84">
              <w:rPr>
                <w:rFonts w:ascii="Arial" w:hAnsi="Arial" w:cs="Arial"/>
                <w:b/>
                <w:color w:val="000000"/>
              </w:rPr>
              <w:t xml:space="preserve">Tomasz </w:t>
            </w:r>
            <w:r>
              <w:rPr>
                <w:rFonts w:ascii="Arial" w:hAnsi="Arial" w:cs="Arial"/>
                <w:b/>
                <w:color w:val="000000"/>
              </w:rPr>
              <w:t>Luterek</w:t>
            </w:r>
          </w:p>
          <w:p w:rsidR="00B119AD" w:rsidRPr="00454D84" w:rsidRDefault="00B119AD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>rzeczoznawca majątkowy</w:t>
            </w:r>
          </w:p>
          <w:p w:rsidR="00B119AD" w:rsidRPr="00454D84" w:rsidRDefault="00276982" w:rsidP="00B119AD">
            <w:pPr>
              <w:tabs>
                <w:tab w:val="left" w:pos="3544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- 1</w:t>
            </w:r>
            <w:r w:rsidR="00B119AD" w:rsidRPr="00454D84">
              <w:rPr>
                <w:rFonts w:ascii="Arial" w:hAnsi="Arial" w:cs="Arial"/>
                <w:bCs/>
                <w:color w:val="000000"/>
              </w:rPr>
              <w:t xml:space="preserve"> godz.</w:t>
            </w:r>
          </w:p>
          <w:p w:rsidR="009C5C85" w:rsidRPr="00DC102F" w:rsidRDefault="009C5C85" w:rsidP="00B119AD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E7B04" w:rsidRPr="00DC102F" w:rsidTr="000E7B04">
        <w:trPr>
          <w:trHeight w:val="592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04" w:rsidRDefault="000E7B04" w:rsidP="000E7B04">
            <w:pPr>
              <w:tabs>
                <w:tab w:val="left" w:pos="3544"/>
              </w:tabs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  <w:p w:rsidR="000E7B04" w:rsidRDefault="000E7B04" w:rsidP="000E7B04">
            <w:pPr>
              <w:tabs>
                <w:tab w:val="left" w:pos="3544"/>
              </w:tabs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  <w:p w:rsidR="000E7B04" w:rsidRPr="00C73787" w:rsidRDefault="000E7B04" w:rsidP="000E7B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BA8">
              <w:rPr>
                <w:rFonts w:ascii="Arial" w:hAnsi="Arial" w:cs="Arial"/>
                <w:b/>
                <w:bCs/>
                <w:sz w:val="24"/>
                <w:szCs w:val="24"/>
              </w:rPr>
              <w:t>Praktyczne aspekty wyceny nieruchomości na potrzeby postepowań egzekucyjnych – egzekucje z nieruchomości (KPC).</w:t>
            </w:r>
          </w:p>
          <w:p w:rsidR="000E7B04" w:rsidRDefault="000E7B04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  <w:p w:rsidR="000E7B04" w:rsidRDefault="000E7B04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</w:tc>
      </w:tr>
      <w:tr w:rsidR="000E7B04" w:rsidRPr="00DC102F" w:rsidTr="000E7B04">
        <w:trPr>
          <w:trHeight w:val="592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B04" w:rsidRDefault="000E7B04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  <w:p w:rsidR="000E7B04" w:rsidRPr="001207A9" w:rsidRDefault="00276982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II DZIEŃ</w:t>
            </w:r>
            <w:r w:rsidR="00B63160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30 październik </w:t>
            </w:r>
            <w:r w:rsidR="000E7B04" w:rsidRPr="001207A9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20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2</w:t>
            </w:r>
            <w:r w:rsidR="000E1EDE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5</w:t>
            </w:r>
            <w:r w:rsidR="000E7B04" w:rsidRPr="001207A9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r.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(</w:t>
            </w:r>
            <w:r w:rsidR="00B63160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czwartek</w:t>
            </w:r>
            <w:r w:rsidR="000E7B04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)</w:t>
            </w:r>
          </w:p>
          <w:p w:rsidR="000E7B04" w:rsidRDefault="000E7B04" w:rsidP="009256CA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207A9" w:rsidRPr="00DC102F" w:rsidTr="000E7B04">
        <w:trPr>
          <w:trHeight w:val="67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73" w:rsidRPr="00DC102F" w:rsidRDefault="00B75F94" w:rsidP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09.00-11.15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87" w:rsidRPr="00B75F94" w:rsidRDefault="00C73787" w:rsidP="00BC4373">
            <w:pPr>
              <w:tabs>
                <w:tab w:val="left" w:pos="3544"/>
              </w:tabs>
              <w:jc w:val="both"/>
              <w:rPr>
                <w:rFonts w:ascii="Arial" w:hAnsi="Arial" w:cs="Arial"/>
              </w:rPr>
            </w:pPr>
          </w:p>
          <w:p w:rsidR="00B75F94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</w:p>
          <w:p w:rsidR="00C73787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  <w:r w:rsidRPr="00B75F94">
              <w:rPr>
                <w:rFonts w:ascii="Arial" w:hAnsi="Arial" w:cs="Arial"/>
              </w:rPr>
              <w:t>Aspekty psychologiczne w postępowaniu egzekucyjnym</w:t>
            </w:r>
            <w:r>
              <w:rPr>
                <w:rFonts w:ascii="Arial" w:hAnsi="Arial" w:cs="Arial"/>
              </w:rPr>
              <w:t>.</w:t>
            </w:r>
          </w:p>
          <w:p w:rsidR="00B75F94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(sposoby radzenia sobie ze stresem, komunikacja w ramach Porozumienia Bez Przemocy (NVC), kompetencje miękkie).</w:t>
            </w:r>
          </w:p>
          <w:p w:rsidR="00B75F94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</w:p>
          <w:p w:rsidR="00B75F94" w:rsidRPr="00DC102F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4" w:rsidRDefault="00B75F94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119AD" w:rsidRPr="00454D84" w:rsidRDefault="000E1EDE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Kamila Werner</w:t>
            </w:r>
          </w:p>
          <w:p w:rsidR="00B119AD" w:rsidRPr="00454D84" w:rsidRDefault="00B119AD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>rzeczoznawca majątkowy</w:t>
            </w:r>
          </w:p>
          <w:p w:rsidR="00B119AD" w:rsidRPr="00454D84" w:rsidRDefault="00B119AD" w:rsidP="00B119AD">
            <w:pPr>
              <w:tabs>
                <w:tab w:val="left" w:pos="3544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42517B">
              <w:rPr>
                <w:rFonts w:ascii="Arial" w:hAnsi="Arial" w:cs="Arial"/>
                <w:bCs/>
                <w:color w:val="000000"/>
              </w:rPr>
              <w:t>3</w:t>
            </w:r>
            <w:r w:rsidRPr="00454D84">
              <w:rPr>
                <w:rFonts w:ascii="Arial" w:hAnsi="Arial" w:cs="Arial"/>
                <w:bCs/>
                <w:color w:val="000000"/>
              </w:rPr>
              <w:t xml:space="preserve"> godz.</w:t>
            </w:r>
          </w:p>
          <w:p w:rsidR="00B345EA" w:rsidRPr="00DC102F" w:rsidRDefault="00B345EA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</w:tr>
      <w:tr w:rsidR="00792EE2" w:rsidRPr="00DC102F" w:rsidTr="000E7B04">
        <w:trPr>
          <w:trHeight w:val="43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133DBE" w:rsidRPr="00DC102F" w:rsidRDefault="00B75F94" w:rsidP="00B119AD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11.15-11.</w:t>
            </w:r>
            <w:r w:rsidR="000E7B57">
              <w:rPr>
                <w:rFonts w:ascii="Arial" w:hAnsi="Arial" w:cs="Arial"/>
                <w:b/>
                <w:color w:val="FF0000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92EE2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B75F94" w:rsidRDefault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  <w:r w:rsidRPr="00B75F94">
              <w:rPr>
                <w:rFonts w:ascii="Arial" w:hAnsi="Arial" w:cs="Arial"/>
                <w:b/>
              </w:rPr>
              <w:t>11.45-13.15</w:t>
            </w:r>
          </w:p>
          <w:p w:rsidR="00B345EA" w:rsidRPr="00DC102F" w:rsidRDefault="00B345EA" w:rsidP="00B119AD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A8" w:rsidRDefault="00217DA8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B54733" w:rsidRDefault="00217DA8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B54733">
              <w:rPr>
                <w:rFonts w:ascii="Arial" w:hAnsi="Arial" w:cs="Arial"/>
                <w:color w:val="000000"/>
                <w:sz w:val="20"/>
                <w:szCs w:val="20"/>
              </w:rPr>
              <w:t>Przepisy prawne dotyczące postępowań egzekucyjnych.</w:t>
            </w:r>
            <w:r w:rsidRPr="00B54733">
              <w:rPr>
                <w:rFonts w:ascii="Arial" w:hAnsi="Arial" w:cs="Arial"/>
                <w:sz w:val="20"/>
                <w:szCs w:val="20"/>
              </w:rPr>
              <w:t xml:space="preserve"> Współpraca biegłego rzeczoznawcy, komornika i sędziego </w:t>
            </w:r>
            <w:r w:rsidR="00B75F94">
              <w:rPr>
                <w:rFonts w:ascii="Arial" w:hAnsi="Arial" w:cs="Arial"/>
                <w:sz w:val="20"/>
                <w:szCs w:val="20"/>
              </w:rPr>
              <w:br/>
            </w:r>
            <w:r w:rsidRPr="00B54733">
              <w:rPr>
                <w:rFonts w:ascii="Arial" w:hAnsi="Arial" w:cs="Arial"/>
                <w:sz w:val="20"/>
                <w:szCs w:val="20"/>
              </w:rPr>
              <w:t xml:space="preserve">w toku postępowania egzekucyjnego </w:t>
            </w:r>
            <w:r w:rsidRPr="00B5473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komentarz – wykład.</w:t>
            </w:r>
            <w:r w:rsidR="00B54733" w:rsidRPr="00B54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4733" w:rsidRDefault="00B54733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  <w:r w:rsidRPr="00B54733">
              <w:rPr>
                <w:rFonts w:ascii="Arial" w:hAnsi="Arial" w:cs="Arial"/>
                <w:sz w:val="20"/>
                <w:szCs w:val="20"/>
              </w:rPr>
              <w:t>Nowe zasady sprawowania nadzoru judykacyjnego sądu nad postępowaniem egzekucyjnym (art. 759 k.p.c., skarga na czynności komornika, skarga na orzeczenie referendarza sądowego, przepisy ustawy o komornikach sądowych o roli sądu).</w:t>
            </w:r>
          </w:p>
          <w:p w:rsidR="00B54733" w:rsidRPr="00B54733" w:rsidRDefault="00B54733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54733">
              <w:rPr>
                <w:rFonts w:ascii="Arial" w:hAnsi="Arial" w:cs="Arial"/>
                <w:sz w:val="20"/>
                <w:szCs w:val="20"/>
              </w:rPr>
              <w:t>Nowe zasady prowadzenia postępowania egzekucyjnego w świetle zmian wprowadzonych Ustawą z dnia 22 marca 2018 r. o komornikach sądowych i egzekucji (wszczęcie egzekucji, poszukiwanie majątku, zawieszenie postępowania, umorzenie postępowania).</w:t>
            </w:r>
          </w:p>
          <w:p w:rsidR="00217DA8" w:rsidRPr="00B54733" w:rsidRDefault="00B54733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54733">
              <w:rPr>
                <w:rFonts w:ascii="Arial" w:hAnsi="Arial" w:cs="Arial"/>
                <w:sz w:val="20"/>
                <w:szCs w:val="20"/>
              </w:rPr>
              <w:t>Egzekucja z ruchomości po 1 stycznia 2019 r. (zajęcie, sprzedaż, odebranie dozoru).</w:t>
            </w:r>
          </w:p>
          <w:p w:rsidR="00B345EA" w:rsidRPr="00DC102F" w:rsidRDefault="00B345EA" w:rsidP="00B54733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bCs/>
                <w:iCs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454D84" w:rsidRDefault="00217DA8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Maciej Klonowski</w:t>
            </w:r>
          </w:p>
          <w:p w:rsidR="009C5C85" w:rsidRPr="00454D84" w:rsidRDefault="00217DA8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sędzia</w:t>
            </w:r>
          </w:p>
          <w:p w:rsidR="00B345EA" w:rsidRPr="00454D84" w:rsidRDefault="009C5C85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>- 2 godz.</w:t>
            </w:r>
          </w:p>
          <w:p w:rsidR="001207A9" w:rsidRPr="00DC102F" w:rsidRDefault="001207A9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63133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C374E2" w:rsidRDefault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13.15-13.30</w:t>
            </w:r>
          </w:p>
          <w:p w:rsidR="00C374E2" w:rsidRPr="00DC102F" w:rsidRDefault="00C374E2" w:rsidP="0042517B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C63133" w:rsidRDefault="00C374E2" w:rsidP="00B231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C63133" w:rsidRDefault="00C63133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C374E2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F94" w:rsidRDefault="00B75F94" w:rsidP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 w:rsidRPr="00B75F94">
              <w:rPr>
                <w:rFonts w:ascii="Arial" w:hAnsi="Arial" w:cs="Arial"/>
                <w:b/>
              </w:rPr>
              <w:t>13.30-15.00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8" w:rsidRDefault="00217DA8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217DA8" w:rsidRPr="00DC102F" w:rsidRDefault="00FA6A86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cd.tematu</w:t>
            </w:r>
          </w:p>
          <w:p w:rsidR="00217DA8" w:rsidRDefault="00217DA8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C374E2" w:rsidRPr="00DC102F" w:rsidRDefault="00C374E2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8" w:rsidRPr="00454D84" w:rsidRDefault="00217DA8" w:rsidP="00217DA8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Maciej Klonowski</w:t>
            </w:r>
          </w:p>
          <w:p w:rsidR="00217DA8" w:rsidRPr="00454D84" w:rsidRDefault="00217DA8" w:rsidP="00217DA8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sędzia</w:t>
            </w:r>
          </w:p>
          <w:p w:rsidR="00C374E2" w:rsidRPr="00C374E2" w:rsidRDefault="00217DA8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- 2</w:t>
            </w:r>
            <w:r w:rsidR="00C374E2" w:rsidRPr="00C374E2">
              <w:rPr>
                <w:rFonts w:ascii="Arial" w:hAnsi="Arial" w:cs="Arial"/>
                <w:bCs/>
                <w:color w:val="000000"/>
              </w:rPr>
              <w:t xml:space="preserve"> godz.</w:t>
            </w:r>
          </w:p>
        </w:tc>
      </w:tr>
      <w:tr w:rsidR="009969C0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9969C0" w:rsidRPr="00DC102F" w:rsidRDefault="00B75F94" w:rsidP="00CA2767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15.00</w:t>
            </w:r>
          </w:p>
          <w:p w:rsidR="009969C0" w:rsidRPr="00DC102F" w:rsidRDefault="009969C0" w:rsidP="00B119AD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spacing w:val="20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9969C0" w:rsidRPr="0042517B" w:rsidRDefault="0042517B" w:rsidP="0042517B">
            <w:pPr>
              <w:tabs>
                <w:tab w:val="left" w:pos="3544"/>
              </w:tabs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                      </w:t>
            </w:r>
            <w:r w:rsidRPr="0042517B">
              <w:rPr>
                <w:rFonts w:ascii="Arial" w:hAnsi="Arial" w:cs="Arial"/>
                <w:color w:val="FF0000"/>
                <w:spacing w:val="20"/>
              </w:rPr>
              <w:t>Zakończenie szkolenia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9969C0" w:rsidRPr="00DC102F" w:rsidRDefault="009969C0" w:rsidP="009C5C85">
            <w:pPr>
              <w:tabs>
                <w:tab w:val="left" w:pos="3544"/>
              </w:tabs>
              <w:ind w:left="357" w:hanging="357"/>
              <w:jc w:val="center"/>
              <w:rPr>
                <w:rFonts w:ascii="Arial" w:hAnsi="Arial" w:cs="Arial"/>
                <w:b/>
                <w:spacing w:val="20"/>
                <w:u w:val="single"/>
              </w:rPr>
            </w:pPr>
          </w:p>
        </w:tc>
      </w:tr>
    </w:tbl>
    <w:p w:rsidR="00B345EA" w:rsidRPr="004D401F" w:rsidRDefault="00B345EA" w:rsidP="009C5C85">
      <w:pPr>
        <w:rPr>
          <w:color w:val="000000"/>
        </w:rPr>
      </w:pPr>
    </w:p>
    <w:sectPr w:rsidR="00B345EA" w:rsidRPr="004D401F" w:rsidSect="001A67ED">
      <w:pgSz w:w="11906" w:h="16838"/>
      <w:pgMar w:top="709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6F5" w:rsidRDefault="00AE26F5" w:rsidP="004962E7">
      <w:r>
        <w:separator/>
      </w:r>
    </w:p>
  </w:endnote>
  <w:endnote w:type="continuationSeparator" w:id="0">
    <w:p w:rsidR="00AE26F5" w:rsidRDefault="00AE26F5" w:rsidP="004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6F5" w:rsidRDefault="00AE26F5" w:rsidP="004962E7">
      <w:r>
        <w:separator/>
      </w:r>
    </w:p>
  </w:footnote>
  <w:footnote w:type="continuationSeparator" w:id="0">
    <w:p w:rsidR="00AE26F5" w:rsidRDefault="00AE26F5" w:rsidP="0049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5669F"/>
    <w:multiLevelType w:val="hybridMultilevel"/>
    <w:tmpl w:val="53EA8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20C0"/>
    <w:multiLevelType w:val="hybridMultilevel"/>
    <w:tmpl w:val="53728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C7C"/>
    <w:multiLevelType w:val="hybridMultilevel"/>
    <w:tmpl w:val="41CA5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43717"/>
    <w:multiLevelType w:val="hybridMultilevel"/>
    <w:tmpl w:val="1F961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12E3"/>
    <w:multiLevelType w:val="hybridMultilevel"/>
    <w:tmpl w:val="91D8A3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06AF5"/>
    <w:multiLevelType w:val="hybridMultilevel"/>
    <w:tmpl w:val="223E28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2F7359"/>
    <w:multiLevelType w:val="hybridMultilevel"/>
    <w:tmpl w:val="D8AE1D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79"/>
    <w:rsid w:val="00023EFE"/>
    <w:rsid w:val="00025C35"/>
    <w:rsid w:val="0003660B"/>
    <w:rsid w:val="00090ED5"/>
    <w:rsid w:val="000B2C79"/>
    <w:rsid w:val="000B31F0"/>
    <w:rsid w:val="000C6C68"/>
    <w:rsid w:val="000E1EDE"/>
    <w:rsid w:val="000E7B04"/>
    <w:rsid w:val="000E7B57"/>
    <w:rsid w:val="000E7D80"/>
    <w:rsid w:val="000F6C62"/>
    <w:rsid w:val="00103B6B"/>
    <w:rsid w:val="001048C3"/>
    <w:rsid w:val="001207A9"/>
    <w:rsid w:val="00121A8E"/>
    <w:rsid w:val="00133DBE"/>
    <w:rsid w:val="00150933"/>
    <w:rsid w:val="00160FB9"/>
    <w:rsid w:val="00161028"/>
    <w:rsid w:val="001A67ED"/>
    <w:rsid w:val="001F29F3"/>
    <w:rsid w:val="00206049"/>
    <w:rsid w:val="00217DA8"/>
    <w:rsid w:val="00232360"/>
    <w:rsid w:val="00276982"/>
    <w:rsid w:val="00284817"/>
    <w:rsid w:val="0029654D"/>
    <w:rsid w:val="002B49E0"/>
    <w:rsid w:val="002D2C32"/>
    <w:rsid w:val="002D7C02"/>
    <w:rsid w:val="0034149E"/>
    <w:rsid w:val="003552FC"/>
    <w:rsid w:val="003B72B5"/>
    <w:rsid w:val="0042517B"/>
    <w:rsid w:val="00434AB4"/>
    <w:rsid w:val="00454D84"/>
    <w:rsid w:val="00466669"/>
    <w:rsid w:val="00467BBC"/>
    <w:rsid w:val="0049475E"/>
    <w:rsid w:val="004962E7"/>
    <w:rsid w:val="004D401F"/>
    <w:rsid w:val="004E51A5"/>
    <w:rsid w:val="004E6B26"/>
    <w:rsid w:val="00550F3F"/>
    <w:rsid w:val="005E2F79"/>
    <w:rsid w:val="005F74B3"/>
    <w:rsid w:val="00651B08"/>
    <w:rsid w:val="006538CA"/>
    <w:rsid w:val="006669F9"/>
    <w:rsid w:val="00670BF0"/>
    <w:rsid w:val="00684579"/>
    <w:rsid w:val="006A7C38"/>
    <w:rsid w:val="006B4160"/>
    <w:rsid w:val="006B6385"/>
    <w:rsid w:val="006D0854"/>
    <w:rsid w:val="006E7356"/>
    <w:rsid w:val="00720F7B"/>
    <w:rsid w:val="00765692"/>
    <w:rsid w:val="00792EE2"/>
    <w:rsid w:val="007D33CB"/>
    <w:rsid w:val="007E3055"/>
    <w:rsid w:val="00830138"/>
    <w:rsid w:val="008356EA"/>
    <w:rsid w:val="00867711"/>
    <w:rsid w:val="008A38F8"/>
    <w:rsid w:val="008B0E84"/>
    <w:rsid w:val="008E5B17"/>
    <w:rsid w:val="008F72E2"/>
    <w:rsid w:val="00904F3A"/>
    <w:rsid w:val="009256CA"/>
    <w:rsid w:val="009271B7"/>
    <w:rsid w:val="00943AE8"/>
    <w:rsid w:val="00973D85"/>
    <w:rsid w:val="009969C0"/>
    <w:rsid w:val="009B1865"/>
    <w:rsid w:val="009C5C85"/>
    <w:rsid w:val="00A00D1B"/>
    <w:rsid w:val="00A37450"/>
    <w:rsid w:val="00A458C3"/>
    <w:rsid w:val="00A920F7"/>
    <w:rsid w:val="00AB6359"/>
    <w:rsid w:val="00AC2F97"/>
    <w:rsid w:val="00AC4A00"/>
    <w:rsid w:val="00AE26F5"/>
    <w:rsid w:val="00AE5604"/>
    <w:rsid w:val="00B00955"/>
    <w:rsid w:val="00B119AD"/>
    <w:rsid w:val="00B23135"/>
    <w:rsid w:val="00B345EA"/>
    <w:rsid w:val="00B45A7F"/>
    <w:rsid w:val="00B516E9"/>
    <w:rsid w:val="00B52E5E"/>
    <w:rsid w:val="00B54733"/>
    <w:rsid w:val="00B63160"/>
    <w:rsid w:val="00B75F94"/>
    <w:rsid w:val="00B76100"/>
    <w:rsid w:val="00B81E49"/>
    <w:rsid w:val="00B8722A"/>
    <w:rsid w:val="00BC4373"/>
    <w:rsid w:val="00C139F8"/>
    <w:rsid w:val="00C374E2"/>
    <w:rsid w:val="00C50360"/>
    <w:rsid w:val="00C56987"/>
    <w:rsid w:val="00C63133"/>
    <w:rsid w:val="00C73787"/>
    <w:rsid w:val="00CB1BC2"/>
    <w:rsid w:val="00CF0480"/>
    <w:rsid w:val="00CF40E3"/>
    <w:rsid w:val="00D325F0"/>
    <w:rsid w:val="00D70888"/>
    <w:rsid w:val="00D95209"/>
    <w:rsid w:val="00DA22D6"/>
    <w:rsid w:val="00DC102F"/>
    <w:rsid w:val="00DD6931"/>
    <w:rsid w:val="00E26FA9"/>
    <w:rsid w:val="00E771C1"/>
    <w:rsid w:val="00E97BA8"/>
    <w:rsid w:val="00EC11C9"/>
    <w:rsid w:val="00ED7CD5"/>
    <w:rsid w:val="00F364F4"/>
    <w:rsid w:val="00F91E70"/>
    <w:rsid w:val="00F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4C7BCD-D0A8-4BD2-B074-47A8B366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/>
      <w:autoSpaceDE/>
      <w:autoSpaceDN/>
      <w:adjustRightInd/>
    </w:pPr>
    <w:rPr>
      <w:sz w:val="24"/>
      <w:szCs w:val="24"/>
    </w:rPr>
  </w:style>
  <w:style w:type="paragraph" w:styleId="Nagwek">
    <w:name w:val="header"/>
    <w:basedOn w:val="Normalny"/>
    <w:semiHidden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02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547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2E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2E7"/>
  </w:style>
  <w:style w:type="character" w:styleId="Odwoanieprzypisukocowego">
    <w:name w:val="endnote reference"/>
    <w:basedOn w:val="Domylnaczcionkaakapitu"/>
    <w:uiPriority w:val="99"/>
    <w:semiHidden/>
    <w:unhideWhenUsed/>
    <w:rsid w:val="00496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DB48-FEBD-425A-A94A-0EC9320A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Polska Federacja Stowarzyszeń Rzeczoznawców Majątkowych</vt:lpstr>
    </vt:vector>
  </TitlesOfParts>
  <Company>PFSM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Federacja Stowarzyszeń Rzeczoznawców Majątkowych</dc:title>
  <dc:creator>PFSM</dc:creator>
  <cp:lastModifiedBy>Szkolenia</cp:lastModifiedBy>
  <cp:revision>2</cp:revision>
  <cp:lastPrinted>2019-10-29T12:24:00Z</cp:lastPrinted>
  <dcterms:created xsi:type="dcterms:W3CDTF">2025-05-06T08:44:00Z</dcterms:created>
  <dcterms:modified xsi:type="dcterms:W3CDTF">2025-05-06T08:44:00Z</dcterms:modified>
</cp:coreProperties>
</file>