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BA" w:rsidRPr="00E62BBA" w:rsidRDefault="00E62BBA" w:rsidP="00E62BB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E62BBA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Program szkole</w:t>
      </w:r>
      <w:bookmarkStart w:id="0" w:name="_GoBack"/>
      <w:bookmarkEnd w:id="0"/>
      <w:r w:rsidRPr="00E62BBA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nia:</w:t>
      </w:r>
    </w:p>
    <w:p w:rsidR="00E62BBA" w:rsidRPr="00E62BBA" w:rsidRDefault="00E62BBA" w:rsidP="00E62BB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:rsidR="00E62BBA" w:rsidRPr="00E62BBA" w:rsidRDefault="00E62BBA" w:rsidP="009B79D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E62BBA">
        <w:rPr>
          <w:rFonts w:eastAsia="Times New Roman" w:cs="Times New Roman"/>
          <w:sz w:val="28"/>
          <w:szCs w:val="28"/>
          <w:lang w:eastAsia="pl-PL"/>
        </w:rPr>
        <w:t>I. Odpowiedzialność karna i cywilna rzeczoznawcy majątkowego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-odpowiedzialność karna rzeczoznawcy majątkowego,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-odpowiedzialność cywilna rzeczoznawcy majątkowego,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-wzajemna współzależność procesu karnego oraz cywilnego.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II. „Rodo” – dlaczego lepiej płacić informatykom niż prawnikom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-obowiązki wynikające z przepisów „Rodo” ze szczególnym uwzględnieniem specyfiki pracy rzeczoznawcy majątkowego,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-konsekwencje braku spełnienia wymagań przewidzianych przez przepisy „RODO”.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 xml:space="preserve">III. Rzeczoznawca a konsument 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-obowiązki rzeczoznawcy będącego przedsiębiorcą względem kontrahentów – konsumentów,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-ograniczenie zasady swobody umów w stosunkach z konsumentami oraz podmiotami do których mają zastosowanie wybrane przepisy o konsumentach,</w:t>
      </w:r>
      <w:r w:rsidRPr="00E62BBA">
        <w:rPr>
          <w:rFonts w:eastAsia="Times New Roman" w:cs="Times New Roman"/>
          <w:sz w:val="28"/>
          <w:szCs w:val="28"/>
          <w:lang w:eastAsia="pl-PL"/>
        </w:rPr>
        <w:br/>
        <w:t>-konsekwencje braku respektowania praw konsumentów oraz podmiotów do których mają zastosowanie wybrane przepisy o konsumentach.</w:t>
      </w:r>
    </w:p>
    <w:p w:rsidR="00824FDF" w:rsidRDefault="00824FDF" w:rsidP="009B79D4">
      <w:pPr>
        <w:rPr>
          <w:sz w:val="28"/>
          <w:szCs w:val="28"/>
        </w:rPr>
      </w:pPr>
    </w:p>
    <w:p w:rsidR="00E62BBA" w:rsidRPr="00E62BBA" w:rsidRDefault="00E62BBA" w:rsidP="009B79D4">
      <w:pPr>
        <w:rPr>
          <w:sz w:val="28"/>
          <w:szCs w:val="28"/>
        </w:rPr>
      </w:pPr>
      <w:r>
        <w:rPr>
          <w:sz w:val="28"/>
          <w:szCs w:val="28"/>
        </w:rPr>
        <w:t>+ dyskusja uczestników z prowadzącym</w:t>
      </w:r>
    </w:p>
    <w:sectPr w:rsidR="00E62BBA" w:rsidRPr="00E6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BA"/>
    <w:rsid w:val="00824FDF"/>
    <w:rsid w:val="009B79D4"/>
    <w:rsid w:val="00E364F1"/>
    <w:rsid w:val="00E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8D417-8CF7-4CAD-A20E-1C30CD72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IBetke</dc:creator>
  <cp:keywords/>
  <dc:description/>
  <cp:lastModifiedBy>Antoni Księżopolski</cp:lastModifiedBy>
  <cp:revision>3</cp:revision>
  <dcterms:created xsi:type="dcterms:W3CDTF">2022-01-31T11:15:00Z</dcterms:created>
  <dcterms:modified xsi:type="dcterms:W3CDTF">2022-01-31T11:16:00Z</dcterms:modified>
</cp:coreProperties>
</file>