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6C" w:rsidRDefault="00AC7D51" w:rsidP="00262A6C">
      <w:pPr>
        <w:pStyle w:val="Spistreci1"/>
        <w:spacing w:before="0" w:beforeAutospacing="0" w:line="260" w:lineRule="atLeast"/>
        <w:rPr>
          <w:rFonts w:ascii="Garamond" w:hAnsi="Garamond"/>
          <w:b/>
          <w:bCs/>
          <w:smallCaps/>
          <w:color w:val="000000"/>
          <w:sz w:val="22"/>
          <w:szCs w:val="22"/>
        </w:rPr>
      </w:pPr>
      <w:r>
        <w:rPr>
          <w:rFonts w:ascii="Garamond" w:hAnsi="Garamond"/>
          <w:b/>
          <w:bCs/>
          <w:smallCaps/>
          <w:color w:val="000000"/>
          <w:sz w:val="22"/>
          <w:szCs w:val="22"/>
        </w:rPr>
        <w:t>Program</w:t>
      </w:r>
    </w:p>
    <w:p w:rsidR="002724D8" w:rsidRDefault="002724D8" w:rsidP="00262A6C">
      <w:pPr>
        <w:pStyle w:val="Spistreci1"/>
        <w:spacing w:before="0" w:beforeAutospacing="0" w:line="260" w:lineRule="atLeast"/>
        <w:rPr>
          <w:rFonts w:ascii="Garamond" w:hAnsi="Garamond"/>
          <w:b/>
          <w:bCs/>
          <w:smallCaps/>
          <w:color w:val="000000"/>
          <w:sz w:val="22"/>
          <w:szCs w:val="22"/>
        </w:rPr>
      </w:pPr>
    </w:p>
    <w:p w:rsidR="00AC7D51" w:rsidRDefault="00B25245" w:rsidP="00262A6C">
      <w:pPr>
        <w:pStyle w:val="Spistreci1"/>
        <w:spacing w:before="0" w:beforeAutospacing="0" w:line="260" w:lineRule="atLeast"/>
        <w:rPr>
          <w:rFonts w:ascii="Garamond" w:hAnsi="Garamond"/>
          <w:b/>
          <w:bCs/>
          <w:smallCaps/>
          <w:color w:val="000000"/>
          <w:sz w:val="22"/>
          <w:szCs w:val="22"/>
        </w:rPr>
      </w:pPr>
      <w:r>
        <w:rPr>
          <w:rFonts w:ascii="Garamond" w:hAnsi="Garamond"/>
          <w:b/>
          <w:bCs/>
          <w:smallCaps/>
          <w:color w:val="000000"/>
          <w:sz w:val="22"/>
          <w:szCs w:val="22"/>
        </w:rPr>
        <w:t xml:space="preserve">1 dzień – </w:t>
      </w:r>
      <w:r w:rsidR="00AC7D51">
        <w:rPr>
          <w:rFonts w:ascii="Garamond" w:hAnsi="Garamond"/>
          <w:b/>
          <w:bCs/>
          <w:smallCaps/>
          <w:color w:val="000000"/>
          <w:sz w:val="22"/>
          <w:szCs w:val="22"/>
        </w:rPr>
        <w:t>8</w:t>
      </w:r>
      <w:r>
        <w:rPr>
          <w:rFonts w:ascii="Garamond" w:hAnsi="Garamond"/>
          <w:b/>
          <w:bCs/>
          <w:smallCaps/>
          <w:color w:val="000000"/>
          <w:sz w:val="22"/>
          <w:szCs w:val="22"/>
        </w:rPr>
        <w:t xml:space="preserve"> h wykłady (</w:t>
      </w:r>
      <w:r w:rsidR="00AC7D51">
        <w:rPr>
          <w:rFonts w:ascii="Garamond" w:hAnsi="Garamond"/>
          <w:b/>
          <w:bCs/>
          <w:smallCaps/>
          <w:color w:val="000000"/>
          <w:sz w:val="22"/>
          <w:szCs w:val="22"/>
        </w:rPr>
        <w:t>4</w:t>
      </w:r>
      <w:r w:rsidR="007C4744">
        <w:rPr>
          <w:rFonts w:ascii="Garamond" w:hAnsi="Garamond"/>
          <w:b/>
          <w:bCs/>
          <w:smallCaps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bCs/>
          <w:smallCaps/>
          <w:color w:val="000000"/>
          <w:sz w:val="22"/>
          <w:szCs w:val="22"/>
        </w:rPr>
        <w:t xml:space="preserve"> pkt)</w:t>
      </w:r>
      <w:r>
        <w:rPr>
          <w:rFonts w:ascii="Garamond" w:hAnsi="Garamond"/>
          <w:b/>
          <w:bCs/>
          <w:smallCaps/>
          <w:color w:val="000000"/>
          <w:sz w:val="22"/>
          <w:szCs w:val="22"/>
        </w:rPr>
        <w:tab/>
      </w:r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rFonts w:ascii="Garamond" w:hAnsi="Garamond"/>
          <w:b/>
          <w:bCs/>
          <w:smallCaps/>
          <w:color w:val="000000"/>
          <w:sz w:val="22"/>
          <w:szCs w:val="22"/>
        </w:rPr>
        <w:t>Część 1. Detaliczny rynek handlu paliwami w Polsce</w:t>
      </w:r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rFonts w:ascii="Garamond" w:hAnsi="Garamond"/>
          <w:b/>
          <w:bCs/>
          <w:smallCaps/>
          <w:color w:val="000000"/>
          <w:sz w:val="22"/>
          <w:szCs w:val="22"/>
        </w:rPr>
        <w:t>Część 2.      Stacja paliw jako nieruchomość z potencjałem handlowym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rFonts w:ascii="Garamond" w:hAnsi="Garamond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2.1. Stacja paliw - nieruchomość o złożonym charakterze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rFonts w:ascii="Garamond" w:hAnsi="Garamond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2.2. Stacja paliw jako obiekt wyceny 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2.3. Klasyfikacja stacji paliw</w:t>
      </w:r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b/>
          <w:bCs/>
          <w:smallCaps/>
          <w:color w:val="000000"/>
          <w:sz w:val="22"/>
          <w:szCs w:val="22"/>
        </w:rPr>
        <w:t>Część 3. Modele funkcjonowania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3.1. Modele funkcjonowania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3.2. Umowa o prowadzenie stacji (ajencyjna)</w:t>
      </w:r>
      <w:r>
        <w:rPr>
          <w:color w:val="000000"/>
          <w:sz w:val="22"/>
          <w:szCs w:val="22"/>
        </w:rPr>
        <w:t xml:space="preserve"> 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3.3. Umowa franczyzowa</w:t>
      </w:r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b/>
          <w:bCs/>
          <w:smallCaps/>
          <w:color w:val="000000"/>
          <w:sz w:val="22"/>
          <w:szCs w:val="22"/>
        </w:rPr>
        <w:t>Część 4.      Informacje niezbędne do wyceny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4.1. </w:t>
      </w:r>
      <w:proofErr w:type="spellStart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Due</w:t>
      </w:r>
      <w:proofErr w:type="spellEnd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diligence</w:t>
      </w:r>
      <w:proofErr w:type="spellEnd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pojęcie, cel, obszary analizy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4.2. </w:t>
      </w:r>
      <w:proofErr w:type="spellStart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Due</w:t>
      </w:r>
      <w:proofErr w:type="spellEnd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diligence</w:t>
      </w:r>
      <w:proofErr w:type="spellEnd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wycenie stacji paliw</w:t>
      </w:r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b/>
          <w:bCs/>
          <w:smallCaps/>
          <w:color w:val="000000"/>
          <w:sz w:val="22"/>
          <w:szCs w:val="22"/>
        </w:rPr>
        <w:t>Część 5.      Analiza potencjału handlowego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5.1. Ocena ogólnej atrakcyjności lokalizacyjnej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5.2. Potencjał lokalizacyjny sprzedaży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5.3. Marża na sprzedaży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5.4. Sprzedaż </w:t>
      </w:r>
      <w:proofErr w:type="spellStart"/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pozapaliwowa</w:t>
      </w:r>
      <w:proofErr w:type="spellEnd"/>
    </w:p>
    <w:p w:rsidR="00262A6C" w:rsidRDefault="00262A6C" w:rsidP="00262A6C">
      <w:pPr>
        <w:pStyle w:val="Spistreci1"/>
        <w:spacing w:before="0" w:beforeAutospacing="0" w:line="260" w:lineRule="atLeast"/>
        <w:rPr>
          <w:rFonts w:ascii="Calibri" w:hAnsi="Calibri"/>
          <w:color w:val="000000"/>
        </w:rPr>
      </w:pPr>
      <w:r>
        <w:rPr>
          <w:b/>
          <w:bCs/>
          <w:smallCaps/>
          <w:color w:val="000000"/>
          <w:sz w:val="22"/>
          <w:szCs w:val="22"/>
        </w:rPr>
        <w:t>Część 6.      Kalkulacja wartości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6.1. Podstawy wyceny metodą zysków wg standardów polskich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6.2. Rachunek wyceny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6.3. Ustalenie udziału właściciela nieruchomości w dochodzie ze stacji paliw</w:t>
      </w:r>
    </w:p>
    <w:p w:rsidR="00262A6C" w:rsidRDefault="00262A6C" w:rsidP="00262A6C">
      <w:pPr>
        <w:pStyle w:val="Spistreci2"/>
        <w:spacing w:before="0" w:beforeAutospacing="0" w:afterAutospacing="0" w:line="260" w:lineRule="atLeast"/>
        <w:ind w:left="22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24D8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6.4. Ustalenie stopy kapitalizacji lub stopy dyskontowej</w:t>
      </w:r>
    </w:p>
    <w:p w:rsidR="00BE7EE3" w:rsidRDefault="00BE7EE3" w:rsidP="00262A6C">
      <w:pPr>
        <w:pStyle w:val="Spistreci2"/>
        <w:spacing w:before="0" w:beforeAutospacing="0" w:afterAutospacing="0" w:line="260" w:lineRule="atLeast"/>
        <w:ind w:left="220"/>
        <w:rPr>
          <w:rFonts w:ascii="Calibri" w:hAnsi="Calibri"/>
          <w:color w:val="000000"/>
        </w:rPr>
      </w:pPr>
      <w:bookmarkStart w:id="0" w:name="_GoBack"/>
      <w:bookmarkEnd w:id="0"/>
    </w:p>
    <w:p w:rsidR="00262A6C" w:rsidRDefault="00262A6C" w:rsidP="00262A6C">
      <w:pPr>
        <w:spacing w:after="100" w:line="260" w:lineRule="atLeast"/>
        <w:rPr>
          <w:color w:val="000000"/>
        </w:rPr>
      </w:pPr>
      <w:r>
        <w:rPr>
          <w:rStyle w:val="Pogrubienie"/>
          <w:smallCaps/>
          <w:color w:val="000000"/>
          <w:lang w:eastAsia="pl-PL"/>
        </w:rPr>
        <w:t>Część 7. Wycena stacji paliw jako przedsiębiorstwa a wycena stacji jako nieruchomości</w:t>
      </w:r>
    </w:p>
    <w:p w:rsidR="00F45E36" w:rsidRDefault="00F45E36" w:rsidP="00262A6C">
      <w:pPr>
        <w:pStyle w:val="Spistreci2"/>
        <w:spacing w:before="0" w:beforeAutospacing="0" w:afterAutospacing="0" w:line="260" w:lineRule="atLeast"/>
        <w:ind w:left="220"/>
      </w:pPr>
    </w:p>
    <w:sectPr w:rsidR="00F45E36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6C"/>
    <w:rsid w:val="00262A6C"/>
    <w:rsid w:val="002724D8"/>
    <w:rsid w:val="00391CD0"/>
    <w:rsid w:val="007C4744"/>
    <w:rsid w:val="00AC7D51"/>
    <w:rsid w:val="00B25245"/>
    <w:rsid w:val="00BD1712"/>
    <w:rsid w:val="00BD7D68"/>
    <w:rsid w:val="00BE7EE3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3C8A"/>
  <w15:docId w15:val="{66C43B65-69D6-4E22-BDA0-B599078F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A6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autoRedefine/>
    <w:uiPriority w:val="39"/>
    <w:semiHidden/>
    <w:unhideWhenUsed/>
    <w:rsid w:val="00262A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Spistreci2">
    <w:name w:val="toc 2"/>
    <w:basedOn w:val="Normalny"/>
    <w:autoRedefine/>
    <w:uiPriority w:val="39"/>
    <w:unhideWhenUsed/>
    <w:rsid w:val="00262A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Antoni Księżopolski</cp:lastModifiedBy>
  <cp:revision>3</cp:revision>
  <dcterms:created xsi:type="dcterms:W3CDTF">2021-12-02T08:51:00Z</dcterms:created>
  <dcterms:modified xsi:type="dcterms:W3CDTF">2021-12-02T08:52:00Z</dcterms:modified>
</cp:coreProperties>
</file>