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Y="1305"/>
        <w:tblW w:w="0" w:type="auto"/>
        <w:tblLook w:val="04A0" w:firstRow="1" w:lastRow="0" w:firstColumn="1" w:lastColumn="0" w:noHBand="0" w:noVBand="1"/>
      </w:tblPr>
      <w:tblGrid>
        <w:gridCol w:w="1648"/>
        <w:gridCol w:w="5031"/>
        <w:gridCol w:w="2393"/>
      </w:tblGrid>
      <w:tr w:rsidR="00BD6623" w:rsidRPr="00BC2A3D" w:rsidTr="00BD6623">
        <w:tc>
          <w:tcPr>
            <w:tcW w:w="1648" w:type="dxa"/>
            <w:shd w:val="clear" w:color="auto" w:fill="auto"/>
          </w:tcPr>
          <w:p w:rsidR="00BD6623" w:rsidRPr="00BC2A3D" w:rsidRDefault="00BD6623" w:rsidP="00BD6623">
            <w:pPr>
              <w:jc w:val="both"/>
              <w:rPr>
                <w:lang w:val="pl-PL"/>
              </w:rPr>
            </w:pPr>
            <w:r w:rsidRPr="00BC2A3D">
              <w:rPr>
                <w:lang w:val="pl-PL"/>
              </w:rPr>
              <w:t>1</w:t>
            </w:r>
            <w:r>
              <w:rPr>
                <w:lang w:val="pl-PL"/>
              </w:rPr>
              <w:t>0</w:t>
            </w:r>
            <w:r w:rsidRPr="00BC2A3D">
              <w:rPr>
                <w:lang w:val="pl-PL"/>
              </w:rPr>
              <w:t>.00 – 1</w:t>
            </w:r>
            <w:r>
              <w:rPr>
                <w:lang w:val="pl-PL"/>
              </w:rPr>
              <w:t>0</w:t>
            </w:r>
            <w:r w:rsidRPr="00BC2A3D">
              <w:rPr>
                <w:lang w:val="pl-PL"/>
              </w:rPr>
              <w:t>.30</w:t>
            </w:r>
          </w:p>
        </w:tc>
        <w:tc>
          <w:tcPr>
            <w:tcW w:w="5031" w:type="dxa"/>
            <w:shd w:val="clear" w:color="auto" w:fill="auto"/>
          </w:tcPr>
          <w:p w:rsidR="00BD6623" w:rsidRDefault="00BD6623" w:rsidP="00BD6623">
            <w:pPr>
              <w:jc w:val="both"/>
              <w:rPr>
                <w:i/>
                <w:iCs/>
                <w:lang w:val="pl-PL"/>
              </w:rPr>
            </w:pPr>
            <w:r>
              <w:rPr>
                <w:lang w:val="pl-PL"/>
              </w:rPr>
              <w:t xml:space="preserve"> </w:t>
            </w:r>
            <w:r w:rsidRPr="00BC2A3D">
              <w:rPr>
                <w:lang w:val="pl-PL"/>
              </w:rPr>
              <w:t>KSWS Wycena nieruchomości gruntowych ze złożami kopalin objętymi własnością nieruchomości gruntowej</w:t>
            </w:r>
            <w:r>
              <w:rPr>
                <w:lang w:val="pl-PL"/>
              </w:rPr>
              <w:t xml:space="preserve"> i inne regulacje (</w:t>
            </w:r>
            <w:r w:rsidRPr="0040385D">
              <w:rPr>
                <w:i/>
                <w:iCs/>
                <w:lang w:val="pl-PL"/>
              </w:rPr>
              <w:t>PFSRM)</w:t>
            </w:r>
          </w:p>
          <w:p w:rsidR="00BD6623" w:rsidRPr="00BC2A3D" w:rsidRDefault="00BD6623" w:rsidP="00BD6623">
            <w:pPr>
              <w:jc w:val="both"/>
              <w:rPr>
                <w:lang w:val="pl-PL"/>
              </w:rPr>
            </w:pPr>
          </w:p>
        </w:tc>
        <w:tc>
          <w:tcPr>
            <w:tcW w:w="2393" w:type="dxa"/>
            <w:shd w:val="clear" w:color="auto" w:fill="auto"/>
          </w:tcPr>
          <w:p w:rsidR="00BD6623" w:rsidRPr="00BC2A3D" w:rsidRDefault="00BD6623" w:rsidP="00BD6623">
            <w:pPr>
              <w:jc w:val="both"/>
              <w:rPr>
                <w:lang w:val="pl-PL"/>
              </w:rPr>
            </w:pPr>
            <w:bookmarkStart w:id="0" w:name="_GoBack"/>
            <w:bookmarkEnd w:id="0"/>
          </w:p>
        </w:tc>
      </w:tr>
      <w:tr w:rsidR="00BD6623" w:rsidRPr="00BC2A3D" w:rsidTr="00BD6623">
        <w:tc>
          <w:tcPr>
            <w:tcW w:w="1648" w:type="dxa"/>
            <w:shd w:val="clear" w:color="auto" w:fill="auto"/>
          </w:tcPr>
          <w:p w:rsidR="00BD6623" w:rsidRPr="00BC2A3D" w:rsidRDefault="00BD6623" w:rsidP="00BD6623">
            <w:pPr>
              <w:jc w:val="both"/>
              <w:rPr>
                <w:lang w:val="pl-PL"/>
              </w:rPr>
            </w:pPr>
            <w:r w:rsidRPr="00BC2A3D">
              <w:rPr>
                <w:lang w:val="pl-PL"/>
              </w:rPr>
              <w:t>1</w:t>
            </w:r>
            <w:r>
              <w:rPr>
                <w:lang w:val="pl-PL"/>
              </w:rPr>
              <w:t>0</w:t>
            </w:r>
            <w:r w:rsidRPr="00BC2A3D">
              <w:rPr>
                <w:lang w:val="pl-PL"/>
              </w:rPr>
              <w:t>.30 – 1</w:t>
            </w:r>
            <w:r>
              <w:rPr>
                <w:lang w:val="pl-PL"/>
              </w:rPr>
              <w:t>1</w:t>
            </w:r>
            <w:r w:rsidRPr="00BC2A3D">
              <w:rPr>
                <w:lang w:val="pl-PL"/>
              </w:rPr>
              <w:t>.00</w:t>
            </w:r>
          </w:p>
        </w:tc>
        <w:tc>
          <w:tcPr>
            <w:tcW w:w="5031" w:type="dxa"/>
            <w:shd w:val="clear" w:color="auto" w:fill="auto"/>
          </w:tcPr>
          <w:p w:rsidR="00BD6623" w:rsidRDefault="00BD6623" w:rsidP="00BD6623">
            <w:pPr>
              <w:jc w:val="both"/>
              <w:rPr>
                <w:i/>
                <w:iCs/>
                <w:lang w:val="pl-PL"/>
              </w:rPr>
            </w:pPr>
            <w:r w:rsidRPr="00BC2A3D">
              <w:rPr>
                <w:lang w:val="pl-PL"/>
              </w:rPr>
              <w:t xml:space="preserve">Aktywa </w:t>
            </w:r>
            <w:proofErr w:type="spellStart"/>
            <w:r w:rsidRPr="00BC2A3D">
              <w:rPr>
                <w:lang w:val="pl-PL"/>
              </w:rPr>
              <w:t>Geologiczno</w:t>
            </w:r>
            <w:proofErr w:type="spellEnd"/>
            <w:r w:rsidRPr="00BC2A3D">
              <w:rPr>
                <w:lang w:val="pl-PL"/>
              </w:rPr>
              <w:t xml:space="preserve"> – Górnicze</w:t>
            </w:r>
            <w:r>
              <w:rPr>
                <w:lang w:val="pl-PL"/>
              </w:rPr>
              <w:t xml:space="preserve">, </w:t>
            </w:r>
            <w:r w:rsidRPr="00BC2A3D">
              <w:rPr>
                <w:lang w:val="pl-PL"/>
              </w:rPr>
              <w:t xml:space="preserve">złoża kopalin </w:t>
            </w:r>
            <w:r>
              <w:rPr>
                <w:lang w:val="pl-PL"/>
              </w:rPr>
              <w:t>a wycena nieruchomości – pułapki podejścia porównawczego (</w:t>
            </w:r>
            <w:r w:rsidRPr="0040385D">
              <w:rPr>
                <w:i/>
                <w:iCs/>
                <w:lang w:val="pl-PL"/>
              </w:rPr>
              <w:t>PFSRM)</w:t>
            </w:r>
          </w:p>
          <w:p w:rsidR="00BD6623" w:rsidRPr="00BC2A3D" w:rsidRDefault="00BD6623" w:rsidP="00BD6623">
            <w:pPr>
              <w:jc w:val="both"/>
              <w:rPr>
                <w:lang w:val="pl-PL"/>
              </w:rPr>
            </w:pPr>
          </w:p>
        </w:tc>
        <w:tc>
          <w:tcPr>
            <w:tcW w:w="2393" w:type="dxa"/>
            <w:shd w:val="clear" w:color="auto" w:fill="auto"/>
          </w:tcPr>
          <w:p w:rsidR="00BD6623" w:rsidRPr="00BC2A3D" w:rsidRDefault="00BD6623" w:rsidP="00BD6623">
            <w:pPr>
              <w:jc w:val="both"/>
              <w:rPr>
                <w:lang w:val="pl-PL"/>
              </w:rPr>
            </w:pPr>
          </w:p>
        </w:tc>
      </w:tr>
      <w:tr w:rsidR="00BD6623" w:rsidRPr="00BC2A3D" w:rsidTr="00BD6623">
        <w:tc>
          <w:tcPr>
            <w:tcW w:w="1648" w:type="dxa"/>
            <w:shd w:val="clear" w:color="auto" w:fill="auto"/>
          </w:tcPr>
          <w:p w:rsidR="00BD6623" w:rsidRPr="00BC2A3D" w:rsidRDefault="00BD6623" w:rsidP="00BD6623">
            <w:pPr>
              <w:jc w:val="both"/>
              <w:rPr>
                <w:lang w:val="pl-PL"/>
              </w:rPr>
            </w:pPr>
            <w:r w:rsidRPr="00BC2A3D">
              <w:rPr>
                <w:lang w:val="pl-PL"/>
              </w:rPr>
              <w:t>1</w:t>
            </w:r>
            <w:r>
              <w:rPr>
                <w:lang w:val="pl-PL"/>
              </w:rPr>
              <w:t>1</w:t>
            </w:r>
            <w:r w:rsidRPr="00BC2A3D">
              <w:rPr>
                <w:lang w:val="pl-PL"/>
              </w:rPr>
              <w:t>.00 – 1</w:t>
            </w:r>
            <w:r>
              <w:rPr>
                <w:lang w:val="pl-PL"/>
              </w:rPr>
              <w:t>1</w:t>
            </w:r>
            <w:r w:rsidRPr="00BC2A3D">
              <w:rPr>
                <w:lang w:val="pl-PL"/>
              </w:rPr>
              <w:t>.30</w:t>
            </w:r>
          </w:p>
        </w:tc>
        <w:tc>
          <w:tcPr>
            <w:tcW w:w="5031" w:type="dxa"/>
            <w:shd w:val="clear" w:color="auto" w:fill="auto"/>
          </w:tcPr>
          <w:p w:rsidR="00BD6623" w:rsidRPr="00BC2A3D" w:rsidRDefault="00BD6623" w:rsidP="00BD6623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 xml:space="preserve">Podejście dochodowe w wycenie AGG (PSWZK) </w:t>
            </w:r>
          </w:p>
        </w:tc>
        <w:tc>
          <w:tcPr>
            <w:tcW w:w="2393" w:type="dxa"/>
            <w:shd w:val="clear" w:color="auto" w:fill="auto"/>
          </w:tcPr>
          <w:p w:rsidR="00BD6623" w:rsidRDefault="00BD6623" w:rsidP="00BD6623">
            <w:pPr>
              <w:jc w:val="both"/>
              <w:rPr>
                <w:lang w:val="pl-PL"/>
              </w:rPr>
            </w:pPr>
          </w:p>
          <w:p w:rsidR="00BD6623" w:rsidRPr="00BC2A3D" w:rsidRDefault="00BD6623" w:rsidP="00BD6623">
            <w:pPr>
              <w:jc w:val="both"/>
              <w:rPr>
                <w:lang w:val="pl-PL"/>
              </w:rPr>
            </w:pPr>
          </w:p>
        </w:tc>
      </w:tr>
      <w:tr w:rsidR="00BD6623" w:rsidRPr="00BC2A3D" w:rsidTr="00BD6623">
        <w:tc>
          <w:tcPr>
            <w:tcW w:w="1648" w:type="dxa"/>
            <w:shd w:val="clear" w:color="auto" w:fill="auto"/>
          </w:tcPr>
          <w:p w:rsidR="00BD6623" w:rsidRPr="00BC2A3D" w:rsidRDefault="00BD6623" w:rsidP="00BD6623">
            <w:pPr>
              <w:jc w:val="both"/>
              <w:rPr>
                <w:lang w:val="pl-PL"/>
              </w:rPr>
            </w:pPr>
            <w:r w:rsidRPr="00BC2A3D">
              <w:rPr>
                <w:lang w:val="pl-PL"/>
              </w:rPr>
              <w:t>1</w:t>
            </w:r>
            <w:r>
              <w:rPr>
                <w:lang w:val="pl-PL"/>
              </w:rPr>
              <w:t>1</w:t>
            </w:r>
            <w:r w:rsidRPr="00BC2A3D">
              <w:rPr>
                <w:lang w:val="pl-PL"/>
              </w:rPr>
              <w:t>.</w:t>
            </w:r>
            <w:r>
              <w:rPr>
                <w:lang w:val="pl-PL"/>
              </w:rPr>
              <w:t>3</w:t>
            </w:r>
            <w:r w:rsidRPr="00BC2A3D">
              <w:rPr>
                <w:lang w:val="pl-PL"/>
              </w:rPr>
              <w:t>0 – 1</w:t>
            </w:r>
            <w:r>
              <w:rPr>
                <w:lang w:val="pl-PL"/>
              </w:rPr>
              <w:t>3</w:t>
            </w:r>
            <w:r w:rsidRPr="00BC2A3D">
              <w:rPr>
                <w:lang w:val="pl-PL"/>
              </w:rPr>
              <w:t>.00</w:t>
            </w:r>
          </w:p>
        </w:tc>
        <w:tc>
          <w:tcPr>
            <w:tcW w:w="5031" w:type="dxa"/>
            <w:shd w:val="clear" w:color="auto" w:fill="auto"/>
          </w:tcPr>
          <w:p w:rsidR="00BD6623" w:rsidRDefault="00BD6623" w:rsidP="00BD6623">
            <w:pPr>
              <w:jc w:val="both"/>
              <w:rPr>
                <w:i/>
                <w:iCs/>
                <w:lang w:val="pl-PL"/>
              </w:rPr>
            </w:pPr>
            <w:r>
              <w:rPr>
                <w:lang w:val="pl-PL"/>
              </w:rPr>
              <w:t xml:space="preserve">Studium przypadku </w:t>
            </w:r>
            <w:r w:rsidRPr="0040385D">
              <w:rPr>
                <w:i/>
                <w:iCs/>
                <w:lang w:val="pl-PL"/>
              </w:rPr>
              <w:t>(PSWZK)</w:t>
            </w:r>
          </w:p>
          <w:p w:rsidR="00BD6623" w:rsidRDefault="00BD6623" w:rsidP="00BD6623">
            <w:pPr>
              <w:jc w:val="both"/>
              <w:rPr>
                <w:lang w:val="pl-PL"/>
              </w:rPr>
            </w:pPr>
          </w:p>
          <w:p w:rsidR="00BD6623" w:rsidRPr="00BC2A3D" w:rsidRDefault="00BD6623" w:rsidP="00BD6623">
            <w:pPr>
              <w:jc w:val="both"/>
              <w:rPr>
                <w:lang w:val="pl-PL"/>
              </w:rPr>
            </w:pPr>
          </w:p>
        </w:tc>
        <w:tc>
          <w:tcPr>
            <w:tcW w:w="2393" w:type="dxa"/>
            <w:shd w:val="clear" w:color="auto" w:fill="auto"/>
          </w:tcPr>
          <w:p w:rsidR="00BD6623" w:rsidRPr="00BC2A3D" w:rsidRDefault="00BD6623" w:rsidP="00BD6623">
            <w:pPr>
              <w:jc w:val="both"/>
              <w:rPr>
                <w:lang w:val="pl-PL"/>
              </w:rPr>
            </w:pPr>
          </w:p>
        </w:tc>
      </w:tr>
      <w:tr w:rsidR="00BD6623" w:rsidRPr="00BC2A3D" w:rsidTr="00BD6623">
        <w:tc>
          <w:tcPr>
            <w:tcW w:w="1648" w:type="dxa"/>
            <w:shd w:val="clear" w:color="auto" w:fill="auto"/>
          </w:tcPr>
          <w:p w:rsidR="00BD6623" w:rsidRPr="00BC2A3D" w:rsidRDefault="00BD6623" w:rsidP="00BD6623">
            <w:pPr>
              <w:jc w:val="both"/>
              <w:rPr>
                <w:lang w:val="pl-PL"/>
              </w:rPr>
            </w:pPr>
            <w:r w:rsidRPr="00BC2A3D">
              <w:rPr>
                <w:lang w:val="pl-PL"/>
              </w:rPr>
              <w:t>1</w:t>
            </w:r>
            <w:r>
              <w:rPr>
                <w:lang w:val="pl-PL"/>
              </w:rPr>
              <w:t>3.00</w:t>
            </w:r>
            <w:r w:rsidRPr="00BC2A3D">
              <w:rPr>
                <w:lang w:val="pl-PL"/>
              </w:rPr>
              <w:t xml:space="preserve"> – 1</w:t>
            </w:r>
            <w:r>
              <w:rPr>
                <w:lang w:val="pl-PL"/>
              </w:rPr>
              <w:t>4</w:t>
            </w:r>
            <w:r w:rsidRPr="00BC2A3D">
              <w:rPr>
                <w:lang w:val="pl-PL"/>
              </w:rPr>
              <w:t>.00</w:t>
            </w:r>
          </w:p>
        </w:tc>
        <w:tc>
          <w:tcPr>
            <w:tcW w:w="5031" w:type="dxa"/>
            <w:shd w:val="clear" w:color="auto" w:fill="auto"/>
          </w:tcPr>
          <w:p w:rsidR="00BD6623" w:rsidRDefault="00BD6623" w:rsidP="00BD6623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 xml:space="preserve">Sesja pytań i odpowiedzi </w:t>
            </w:r>
            <w:r w:rsidRPr="0040385D">
              <w:rPr>
                <w:i/>
                <w:iCs/>
                <w:lang w:val="pl-PL"/>
              </w:rPr>
              <w:t>(prowadzący razem)</w:t>
            </w:r>
          </w:p>
          <w:p w:rsidR="00BD6623" w:rsidRDefault="00BD6623" w:rsidP="00BD6623">
            <w:pPr>
              <w:jc w:val="both"/>
              <w:rPr>
                <w:lang w:val="pl-PL"/>
              </w:rPr>
            </w:pPr>
          </w:p>
          <w:p w:rsidR="00BD6623" w:rsidRPr="00BC2A3D" w:rsidRDefault="00BD6623" w:rsidP="00BD6623">
            <w:pPr>
              <w:jc w:val="both"/>
              <w:rPr>
                <w:lang w:val="pl-PL"/>
              </w:rPr>
            </w:pPr>
          </w:p>
        </w:tc>
        <w:tc>
          <w:tcPr>
            <w:tcW w:w="2393" w:type="dxa"/>
            <w:shd w:val="clear" w:color="auto" w:fill="auto"/>
          </w:tcPr>
          <w:p w:rsidR="00BD6623" w:rsidRPr="00BC2A3D" w:rsidRDefault="00BD6623" w:rsidP="00BD6623">
            <w:pPr>
              <w:jc w:val="both"/>
              <w:rPr>
                <w:lang w:val="pl-PL"/>
              </w:rPr>
            </w:pPr>
          </w:p>
        </w:tc>
      </w:tr>
    </w:tbl>
    <w:p w:rsidR="00671CB7" w:rsidRPr="00BD6623" w:rsidRDefault="00BD6623" w:rsidP="00BD6623">
      <w:pPr>
        <w:jc w:val="center"/>
        <w:rPr>
          <w:b/>
          <w:sz w:val="28"/>
          <w:szCs w:val="28"/>
        </w:rPr>
      </w:pPr>
      <w:proofErr w:type="spellStart"/>
      <w:r w:rsidRPr="00BD6623">
        <w:rPr>
          <w:b/>
          <w:sz w:val="28"/>
          <w:szCs w:val="28"/>
        </w:rPr>
        <w:t>Harmonogram</w:t>
      </w:r>
      <w:proofErr w:type="spellEnd"/>
      <w:r w:rsidRPr="00BD6623">
        <w:rPr>
          <w:b/>
          <w:sz w:val="28"/>
          <w:szCs w:val="28"/>
        </w:rPr>
        <w:t>:</w:t>
      </w:r>
    </w:p>
    <w:sectPr w:rsidR="00671CB7" w:rsidRPr="00BD6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623"/>
    <w:rsid w:val="00671CB7"/>
    <w:rsid w:val="00BD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157EE"/>
  <w15:chartTrackingRefBased/>
  <w15:docId w15:val="{6A330293-8CB4-42C7-86BA-35B2CF0EE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D6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Szkolenia</dc:creator>
  <cp:keywords/>
  <dc:description/>
  <cp:lastModifiedBy>Szkolenia</cp:lastModifiedBy>
  <cp:revision>1</cp:revision>
  <dcterms:created xsi:type="dcterms:W3CDTF">2020-08-14T06:15:00Z</dcterms:created>
  <dcterms:modified xsi:type="dcterms:W3CDTF">2020-08-14T06:16:00Z</dcterms:modified>
</cp:coreProperties>
</file>