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6C" w:rsidRDefault="00262A6C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HARMONOGRAM</w:t>
      </w:r>
    </w:p>
    <w:p w:rsidR="002724D8" w:rsidRDefault="002724D8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</w:p>
    <w:p w:rsidR="00B25245" w:rsidRDefault="00B25245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bCs/>
          <w:smallCaps/>
          <w:color w:val="000000"/>
          <w:sz w:val="22"/>
          <w:szCs w:val="22"/>
        </w:rPr>
        <w:t>1 dzień – 7 h wykłady (3</w:t>
      </w:r>
      <w:r w:rsidR="007C4744"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.5 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pkt)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ab/>
        <w:t xml:space="preserve">2 </w:t>
      </w:r>
      <w:proofErr w:type="spellStart"/>
      <w:r>
        <w:rPr>
          <w:rFonts w:ascii="Garamond" w:hAnsi="Garamond"/>
          <w:b/>
          <w:bCs/>
          <w:smallCaps/>
          <w:color w:val="000000"/>
          <w:sz w:val="22"/>
          <w:szCs w:val="22"/>
        </w:rPr>
        <w:t>dzien</w:t>
      </w:r>
      <w:proofErr w:type="spellEnd"/>
      <w:r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– 6 h warsztaty (3</w:t>
      </w:r>
      <w:r w:rsidR="007C4744"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>pkt)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Część 1. Detaliczny rynek handlu paliwami w Polsce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Część 2.      Stacja paliw jako nieruchomość z potencjałem handlowym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rFonts w:ascii="Garamond" w:hAnsi="Garamond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 Stacja paliw - nieruchomość o złożonym charakterze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rFonts w:ascii="Garamond" w:hAnsi="Garamond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2.2. Stacja paliw jako obiekt wyceny 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2.3. Klasyfikacja stacji paliw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3. Modele funkcjonowania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 Modele funkcjonowania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3.2. Umowa o prowadzenie stacji (ajencyjna)</w:t>
      </w:r>
      <w:r>
        <w:rPr>
          <w:color w:val="000000"/>
          <w:sz w:val="22"/>
          <w:szCs w:val="22"/>
        </w:rPr>
        <w:t xml:space="preserve"> 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3.3. Umowa franczyzowa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4.      Informacje niezbędne do wyceny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4.1.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pojęcie, cel, obszary analizy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4.2.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wycenie stacji paliw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5.      Analiza potencjału handlowego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5.1. Ocena ogólnej atrakcyjności lokalizacyjnej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5.2. Potencjał lokalizacyjny sprzedaży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5.3. Marża na sprzedaży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5.4. Sprzedaż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pozapaliwowa</w:t>
      </w:r>
      <w:proofErr w:type="spellEnd"/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6.      Kalkulacja wartości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6.1. Podstawy wyceny metodą zysków wg standardów polskich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6.2. Rachunek wyceny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6.3. Ustalenie udziału właściciela nieruchomości w dochodzie ze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6.4. Ustalenie stopy kapitalizacji lub stopy dyskontowej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Style w:val="Pogrubienie"/>
          <w:smallCaps/>
          <w:color w:val="000000"/>
          <w:lang w:eastAsia="pl-PL"/>
        </w:rPr>
        <w:t>Część 7. Wycena stacji paliw jako przedsiębiorstwa a wycena stacji jako nieruchomości</w:t>
      </w:r>
    </w:p>
    <w:p w:rsidR="00262A6C" w:rsidRDefault="00262A6C" w:rsidP="00262A6C">
      <w:pPr>
        <w:rPr>
          <w:color w:val="000000"/>
        </w:rPr>
      </w:pPr>
      <w:r>
        <w:rPr>
          <w:rStyle w:val="Pogrubienie"/>
          <w:smallCaps/>
          <w:color w:val="000000"/>
          <w:lang w:eastAsia="pl-PL"/>
        </w:rPr>
        <w:t>Część 8.  Przykłady wycen  nieruchomości stacji paliw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color w:val="000000"/>
        </w:rPr>
        <w:t> 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Fonts w:ascii="Times New Roman" w:hAnsi="Times New Roman"/>
          <w:smallCaps/>
          <w:color w:val="000000"/>
          <w:lang w:eastAsia="pl-PL"/>
        </w:rPr>
        <w:t>8.1. STACJA MIEJSKA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Fonts w:ascii="Times New Roman" w:hAnsi="Times New Roman"/>
          <w:smallCaps/>
          <w:color w:val="000000"/>
          <w:lang w:eastAsia="pl-PL"/>
        </w:rPr>
        <w:t>8.2. STACJA TRANZYTOWA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Fonts w:ascii="Times New Roman" w:hAnsi="Times New Roman"/>
          <w:smallCaps/>
          <w:color w:val="000000"/>
          <w:lang w:eastAsia="pl-PL"/>
        </w:rPr>
        <w:t>8.3. STACJA AUTOMATYCZNA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Fonts w:ascii="Times New Roman" w:hAnsi="Times New Roman"/>
          <w:smallCaps/>
          <w:color w:val="000000"/>
          <w:lang w:eastAsia="pl-PL"/>
        </w:rPr>
        <w:t>8.4. WYCENA WARTOŚCI ODTWORZENIOWEJ STACJI PALIW</w:t>
      </w:r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Fonts w:ascii="Times New Roman" w:hAnsi="Times New Roman"/>
          <w:smallCaps/>
          <w:color w:val="000000"/>
          <w:lang w:eastAsia="pl-PL"/>
        </w:rPr>
        <w:t>8.5. WYCENA CZYNSZU ZA STACJĘ</w:t>
      </w:r>
    </w:p>
    <w:p w:rsidR="00F45E36" w:rsidRDefault="00262A6C" w:rsidP="00262A6C">
      <w:pPr>
        <w:pStyle w:val="Spistreci2"/>
        <w:spacing w:before="0" w:beforeAutospacing="0" w:afterAutospacing="0" w:line="260" w:lineRule="atLeast"/>
        <w:ind w:left="220"/>
      </w:pPr>
      <w:r>
        <w:rPr>
          <w:color w:val="000000"/>
        </w:rPr>
        <w:t>Część 7 i 8 w drugim, warsztatowym dniu szkolenia</w:t>
      </w:r>
    </w:p>
    <w:sectPr w:rsidR="00F45E36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C"/>
    <w:rsid w:val="00262A6C"/>
    <w:rsid w:val="002724D8"/>
    <w:rsid w:val="00391CD0"/>
    <w:rsid w:val="007C4744"/>
    <w:rsid w:val="00B25245"/>
    <w:rsid w:val="00BD1712"/>
    <w:rsid w:val="00BD7D6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4471"/>
  <w15:docId w15:val="{66C43B65-69D6-4E22-BDA0-B599078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A6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autoRedefine/>
    <w:uiPriority w:val="39"/>
    <w:semiHidden/>
    <w:unhideWhenUsed/>
    <w:rsid w:val="00262A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autoRedefine/>
    <w:uiPriority w:val="39"/>
    <w:unhideWhenUsed/>
    <w:rsid w:val="00262A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dcterms:created xsi:type="dcterms:W3CDTF">2019-11-13T12:08:00Z</dcterms:created>
  <dcterms:modified xsi:type="dcterms:W3CDTF">2019-11-13T12:08:00Z</dcterms:modified>
</cp:coreProperties>
</file>