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C5" w:rsidRPr="002C1265" w:rsidRDefault="002C1265" w:rsidP="002C1265">
      <w:pPr>
        <w:spacing w:after="0"/>
        <w:jc w:val="center"/>
        <w:rPr>
          <w:b/>
          <w:sz w:val="44"/>
          <w:szCs w:val="44"/>
        </w:rPr>
      </w:pPr>
      <w:r w:rsidRPr="002C1265">
        <w:rPr>
          <w:b/>
          <w:sz w:val="44"/>
          <w:szCs w:val="44"/>
        </w:rPr>
        <w:t>PLAN SZKOLENIA</w:t>
      </w:r>
    </w:p>
    <w:p w:rsidR="002C1265" w:rsidRDefault="002C1265" w:rsidP="002C1265">
      <w:pPr>
        <w:spacing w:after="0"/>
        <w:jc w:val="center"/>
        <w:rPr>
          <w:b/>
          <w:sz w:val="44"/>
          <w:szCs w:val="44"/>
        </w:rPr>
      </w:pPr>
      <w:r w:rsidRPr="002C1265">
        <w:rPr>
          <w:b/>
          <w:sz w:val="44"/>
          <w:szCs w:val="44"/>
        </w:rPr>
        <w:t>05.10.2018 r.</w:t>
      </w:r>
    </w:p>
    <w:p w:rsidR="00C461CB" w:rsidRPr="002C1265" w:rsidRDefault="00C461CB" w:rsidP="002C1265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10:30 – 16:00</w:t>
      </w:r>
    </w:p>
    <w:tbl>
      <w:tblPr>
        <w:tblStyle w:val="Tabela-Siatka"/>
        <w:tblpPr w:leftFromText="141" w:rightFromText="141" w:vertAnchor="text" w:horzAnchor="margin" w:tblpY="1143"/>
        <w:tblW w:w="0" w:type="auto"/>
        <w:tblLook w:val="04A0"/>
      </w:tblPr>
      <w:tblGrid>
        <w:gridCol w:w="959"/>
        <w:gridCol w:w="8253"/>
      </w:tblGrid>
      <w:tr w:rsidR="002C1265" w:rsidTr="002C1265">
        <w:tc>
          <w:tcPr>
            <w:tcW w:w="959" w:type="dxa"/>
            <w:shd w:val="clear" w:color="auto" w:fill="548DD4" w:themeFill="text2" w:themeFillTint="99"/>
            <w:vAlign w:val="center"/>
          </w:tcPr>
          <w:p w:rsidR="002C1265" w:rsidRPr="002C1265" w:rsidRDefault="002C1265" w:rsidP="002C1265">
            <w:pPr>
              <w:jc w:val="center"/>
              <w:rPr>
                <w:sz w:val="28"/>
              </w:rPr>
            </w:pPr>
            <w:r w:rsidRPr="002C1265">
              <w:rPr>
                <w:sz w:val="28"/>
              </w:rPr>
              <w:t>Lp.</w:t>
            </w:r>
          </w:p>
        </w:tc>
        <w:tc>
          <w:tcPr>
            <w:tcW w:w="8253" w:type="dxa"/>
            <w:shd w:val="clear" w:color="auto" w:fill="548DD4" w:themeFill="text2" w:themeFillTint="99"/>
            <w:vAlign w:val="center"/>
          </w:tcPr>
          <w:p w:rsidR="002C1265" w:rsidRPr="002C1265" w:rsidRDefault="002C1265" w:rsidP="002C1265">
            <w:pPr>
              <w:jc w:val="center"/>
              <w:rPr>
                <w:sz w:val="28"/>
              </w:rPr>
            </w:pPr>
            <w:r w:rsidRPr="002C1265">
              <w:rPr>
                <w:sz w:val="28"/>
              </w:rPr>
              <w:t>Temat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1.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Podstawowe zagadnienia podejścia dochodowego</w:t>
            </w:r>
            <w:r w:rsidRPr="002C1265">
              <w:rPr>
                <w:iCs/>
              </w:rPr>
              <w:br/>
              <w:t>o    Pojęcie nieruchomości komercyjnej</w:t>
            </w:r>
            <w:r w:rsidRPr="002C1265">
              <w:rPr>
                <w:iCs/>
              </w:rPr>
              <w:br/>
              <w:t>o    Motywacje inwestora nabywającego nieruchomość komercyjną</w:t>
            </w:r>
            <w:r w:rsidRPr="002C1265">
              <w:rPr>
                <w:iCs/>
              </w:rPr>
              <w:br/>
              <w:t xml:space="preserve">o    Znaczenie przebiegu typowej transakcji sprzedaży dla </w:t>
            </w:r>
            <w:proofErr w:type="spellStart"/>
            <w:r w:rsidRPr="002C1265">
              <w:rPr>
                <w:iCs/>
              </w:rPr>
              <w:t>wyceny</w:t>
            </w:r>
            <w:proofErr w:type="spellEnd"/>
            <w:r w:rsidRPr="002C1265">
              <w:rPr>
                <w:iCs/>
              </w:rPr>
              <w:t xml:space="preserve"> nieruchomości</w:t>
            </w:r>
            <w:r w:rsidRPr="002C1265">
              <w:rPr>
                <w:iCs/>
              </w:rPr>
              <w:br/>
              <w:t>o    Dwa podstawowe parametry determinujące wartość nieruchomości komercyjnej</w:t>
            </w:r>
            <w:r w:rsidRPr="002C1265">
              <w:rPr>
                <w:iCs/>
              </w:rPr>
              <w:br/>
              <w:t xml:space="preserve">o    Właściwe kryterium wyboru techniki </w:t>
            </w:r>
            <w:proofErr w:type="spellStart"/>
            <w:r w:rsidRPr="002C1265">
              <w:rPr>
                <w:iCs/>
              </w:rPr>
              <w:t>wyceny</w:t>
            </w:r>
            <w:proofErr w:type="spellEnd"/>
            <w:r w:rsidRPr="002C1265">
              <w:rPr>
                <w:iCs/>
              </w:rPr>
              <w:t xml:space="preserve"> w podejściu dochodowym</w:t>
            </w:r>
            <w:r w:rsidRPr="002C1265">
              <w:rPr>
                <w:iCs/>
              </w:rPr>
              <w:br/>
              <w:t xml:space="preserve">o    Podejmowanie decyzji w zakresie długości okresu projekcji </w:t>
            </w:r>
            <w:proofErr w:type="spellStart"/>
            <w:r w:rsidRPr="002C1265">
              <w:rPr>
                <w:iCs/>
              </w:rPr>
              <w:t>cash</w:t>
            </w:r>
            <w:proofErr w:type="spellEnd"/>
            <w:r w:rsidRPr="002C1265">
              <w:rPr>
                <w:iCs/>
              </w:rPr>
              <w:t xml:space="preserve"> </w:t>
            </w:r>
            <w:proofErr w:type="spellStart"/>
            <w:r w:rsidRPr="002C1265">
              <w:rPr>
                <w:iCs/>
              </w:rPr>
              <w:t>flow</w:t>
            </w:r>
            <w:proofErr w:type="spellEnd"/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2.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Znaczenie umów najmu w wycenie nieruchomości komercyjnych</w:t>
            </w:r>
            <w:r w:rsidRPr="002C1265">
              <w:rPr>
                <w:iCs/>
              </w:rPr>
              <w:br/>
              <w:t>o    Czynsz wywoławczy</w:t>
            </w:r>
            <w:r w:rsidRPr="002C1265">
              <w:rPr>
                <w:iCs/>
              </w:rPr>
              <w:br/>
              <w:t>o    Czynsz nominalny</w:t>
            </w:r>
            <w:r w:rsidRPr="002C1265">
              <w:rPr>
                <w:iCs/>
              </w:rPr>
              <w:br/>
              <w:t>o    Czynsz efektywny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3.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Analiza rynku w zakresie czynszów</w:t>
            </w:r>
            <w:r w:rsidRPr="002C1265">
              <w:rPr>
                <w:iCs/>
              </w:rPr>
              <w:br/>
              <w:t>o    Dane z rzeczywistych umów najmu w nieruchomościach podobnych</w:t>
            </w:r>
            <w:r w:rsidRPr="002C1265">
              <w:rPr>
                <w:iCs/>
              </w:rPr>
              <w:br/>
              <w:t>o    Stawki ofertowe</w:t>
            </w:r>
            <w:r w:rsidRPr="002C1265">
              <w:rPr>
                <w:iCs/>
              </w:rPr>
              <w:br/>
              <w:t>o    Znaczenie umów najmu w nieruchomości wycenianej</w:t>
            </w:r>
            <w:r w:rsidRPr="002C1265">
              <w:rPr>
                <w:iCs/>
              </w:rPr>
              <w:br/>
              <w:t>o    Okresy bezczynszowe</w:t>
            </w:r>
            <w:r w:rsidRPr="002C1265">
              <w:rPr>
                <w:iCs/>
              </w:rPr>
              <w:br/>
              <w:t>o    Tzw. „zachęty” dla najemcy</w:t>
            </w:r>
            <w:r w:rsidRPr="002C1265">
              <w:rPr>
                <w:iCs/>
              </w:rPr>
              <w:br/>
              <w:t>-  Zwolnienia czynszowe</w:t>
            </w:r>
            <w:r w:rsidRPr="002C1265">
              <w:rPr>
                <w:iCs/>
              </w:rPr>
              <w:br/>
              <w:t>-  Udział w kosztach aranżacji powierzchni</w:t>
            </w:r>
            <w:r w:rsidRPr="002C1265">
              <w:rPr>
                <w:iCs/>
              </w:rPr>
              <w:br/>
              <w:t>- Tzw. „czynsze kroczące”</w:t>
            </w:r>
            <w:r w:rsidRPr="002C1265">
              <w:rPr>
                <w:iCs/>
              </w:rPr>
              <w:br/>
              <w:t>o    Prowizje pośredników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4.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Znaczenie ryzyka w wycenie nieruchomości komercyjnych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5.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 xml:space="preserve">Czynniki wpływające </w:t>
            </w:r>
            <w:proofErr w:type="spellStart"/>
            <w:r w:rsidRPr="002C1265">
              <w:rPr>
                <w:iCs/>
              </w:rPr>
              <w:t>na</w:t>
            </w:r>
            <w:proofErr w:type="spellEnd"/>
            <w:r w:rsidRPr="002C1265">
              <w:rPr>
                <w:iCs/>
              </w:rPr>
              <w:t xml:space="preserve"> wysokość stóp zwrotu w wycenie nieruchomości komercyjnych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6.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Rodzaje projekcji przepływów dochodów</w:t>
            </w:r>
            <w:r w:rsidRPr="002C1265">
              <w:rPr>
                <w:iCs/>
              </w:rPr>
              <w:br/>
              <w:t>o    Pośrednie Przepływy Dochodów</w:t>
            </w:r>
            <w:r w:rsidRPr="002C1265">
              <w:rPr>
                <w:iCs/>
              </w:rPr>
              <w:br/>
              <w:t>o    Bezpośrednie Przepływy Dochodów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7.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 xml:space="preserve">Jak zbudować </w:t>
            </w:r>
            <w:proofErr w:type="spellStart"/>
            <w:r w:rsidRPr="002C1265">
              <w:rPr>
                <w:iCs/>
              </w:rPr>
              <w:t>cash</w:t>
            </w:r>
            <w:proofErr w:type="spellEnd"/>
            <w:r w:rsidRPr="002C1265">
              <w:rPr>
                <w:iCs/>
              </w:rPr>
              <w:t xml:space="preserve"> </w:t>
            </w:r>
            <w:proofErr w:type="spellStart"/>
            <w:r w:rsidRPr="002C1265">
              <w:rPr>
                <w:iCs/>
              </w:rPr>
              <w:t>flow</w:t>
            </w:r>
            <w:proofErr w:type="spellEnd"/>
            <w:r w:rsidRPr="002C1265">
              <w:rPr>
                <w:iCs/>
              </w:rPr>
              <w:t xml:space="preserve"> za pomocą arkusza kalkulacyjnego Excel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8.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Przyczyny chaosu informacyjnego w zakresie stóp zwrotu w Polsce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9.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 xml:space="preserve">Stopy zwrotu </w:t>
            </w:r>
            <w:proofErr w:type="spellStart"/>
            <w:r w:rsidRPr="002C1265">
              <w:rPr>
                <w:iCs/>
              </w:rPr>
              <w:t>na</w:t>
            </w:r>
            <w:proofErr w:type="spellEnd"/>
            <w:r w:rsidRPr="002C1265">
              <w:rPr>
                <w:iCs/>
              </w:rPr>
              <w:t xml:space="preserve"> podstawie ugruntowanej praktyki polskiego rynku nieruchomości</w:t>
            </w:r>
            <w:r w:rsidRPr="002C1265">
              <w:rPr>
                <w:iCs/>
              </w:rPr>
              <w:br/>
              <w:t>o    Stopa kapitalizacji</w:t>
            </w:r>
            <w:r w:rsidRPr="002C1265">
              <w:rPr>
                <w:iCs/>
              </w:rPr>
              <w:br/>
              <w:t>o    Stopa dyskontowa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10.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 xml:space="preserve">Sposoby podejmowania decyzji w zakresie stóp zwrotu </w:t>
            </w:r>
            <w:proofErr w:type="spellStart"/>
            <w:r w:rsidRPr="002C1265">
              <w:rPr>
                <w:iCs/>
              </w:rPr>
              <w:t>na</w:t>
            </w:r>
            <w:proofErr w:type="spellEnd"/>
            <w:r w:rsidRPr="002C1265">
              <w:rPr>
                <w:iCs/>
              </w:rPr>
              <w:t xml:space="preserve"> potrzeby </w:t>
            </w:r>
            <w:proofErr w:type="spellStart"/>
            <w:r w:rsidRPr="002C1265">
              <w:rPr>
                <w:iCs/>
              </w:rPr>
              <w:t>wyceny</w:t>
            </w:r>
            <w:proofErr w:type="spellEnd"/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11.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Źródła informacji o stopach zwrotu w Polsce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12.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Znaczenie badania rynku w zakresie stóp zwrotu i typowe błędy w analizie transakcji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13.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Wielość rodzajów stóp zwrotu i dlaczego musimy je rozróżniać</w:t>
            </w:r>
            <w:r w:rsidRPr="002C1265">
              <w:rPr>
                <w:iCs/>
              </w:rPr>
              <w:br/>
              <w:t>o    Stopa Wszelkich Ryzyk</w:t>
            </w:r>
            <w:r w:rsidRPr="002C1265">
              <w:rPr>
                <w:iCs/>
              </w:rPr>
              <w:br/>
              <w:t>o    Początkowa Stopa Zwrotu</w:t>
            </w:r>
            <w:r w:rsidRPr="002C1265">
              <w:rPr>
                <w:iCs/>
              </w:rPr>
              <w:br/>
              <w:t>o    Stopa Kapitalizacji dla Wartości Rezydualnej</w:t>
            </w:r>
            <w:r w:rsidRPr="002C1265">
              <w:rPr>
                <w:iCs/>
              </w:rPr>
              <w:br/>
              <w:t>o    Wyrównana Stopa Zwrotu</w:t>
            </w:r>
            <w:r w:rsidRPr="002C1265">
              <w:rPr>
                <w:iCs/>
              </w:rPr>
              <w:br/>
            </w:r>
            <w:r w:rsidRPr="002C1265">
              <w:rPr>
                <w:iCs/>
              </w:rPr>
              <w:lastRenderedPageBreak/>
              <w:t>o    Klasyczna Stopa Dyskontowa</w:t>
            </w:r>
            <w:r w:rsidRPr="002C1265">
              <w:rPr>
                <w:iCs/>
              </w:rPr>
              <w:br/>
              <w:t>o    Stopy Netto</w:t>
            </w:r>
            <w:r w:rsidRPr="002C1265">
              <w:rPr>
                <w:iCs/>
              </w:rPr>
              <w:br/>
              <w:t>o    Stopy Brutto</w:t>
            </w:r>
            <w:r w:rsidRPr="002C1265">
              <w:rPr>
                <w:iCs/>
              </w:rPr>
              <w:br/>
              <w:t>o    Stopy Nominalne</w:t>
            </w:r>
            <w:r w:rsidRPr="002C1265">
              <w:rPr>
                <w:iCs/>
              </w:rPr>
              <w:br/>
              <w:t>o    Stopy Rzeczywiste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Wyznaczanie Wyrównanej Stopy Zwrotu przy pomocy arkusza kalkulacyjnego Excel</w:t>
            </w:r>
          </w:p>
        </w:tc>
      </w:tr>
      <w:tr w:rsidR="002C1265" w:rsidTr="002C1265">
        <w:tc>
          <w:tcPr>
            <w:tcW w:w="959" w:type="dxa"/>
            <w:shd w:val="clear" w:color="auto" w:fill="C6D9F1" w:themeFill="text2" w:themeFillTint="33"/>
            <w:vAlign w:val="center"/>
          </w:tcPr>
          <w:p w:rsidR="002C1265" w:rsidRDefault="002C1265" w:rsidP="002C1265">
            <w:pPr>
              <w:jc w:val="center"/>
            </w:pPr>
            <w:r>
              <w:t>15.</w:t>
            </w:r>
          </w:p>
        </w:tc>
        <w:tc>
          <w:tcPr>
            <w:tcW w:w="8253" w:type="dxa"/>
          </w:tcPr>
          <w:p w:rsidR="002C1265" w:rsidRPr="002C1265" w:rsidRDefault="002C1265" w:rsidP="002C1265">
            <w:r w:rsidRPr="002C1265">
              <w:rPr>
                <w:iCs/>
              </w:rPr>
              <w:t>Czy istnieje uniwersalna „metoda obliczania” stóp zwrotu?</w:t>
            </w:r>
            <w:r w:rsidRPr="002C1265">
              <w:rPr>
                <w:iCs/>
              </w:rPr>
              <w:br/>
              <w:t xml:space="preserve">o    Stopy </w:t>
            </w:r>
            <w:proofErr w:type="spellStart"/>
            <w:r w:rsidRPr="002C1265">
              <w:rPr>
                <w:iCs/>
              </w:rPr>
              <w:t>Prime</w:t>
            </w:r>
            <w:proofErr w:type="spellEnd"/>
            <w:r w:rsidRPr="002C1265">
              <w:rPr>
                <w:iCs/>
              </w:rPr>
              <w:t xml:space="preserve"> </w:t>
            </w:r>
            <w:proofErr w:type="spellStart"/>
            <w:r w:rsidRPr="002C1265">
              <w:rPr>
                <w:iCs/>
              </w:rPr>
              <w:t>Yields</w:t>
            </w:r>
            <w:proofErr w:type="spellEnd"/>
            <w:r w:rsidRPr="002C1265">
              <w:rPr>
                <w:iCs/>
              </w:rPr>
              <w:t xml:space="preserve"> i uwzględnianie ryzyka </w:t>
            </w:r>
            <w:proofErr w:type="spellStart"/>
            <w:r w:rsidRPr="002C1265">
              <w:rPr>
                <w:iCs/>
              </w:rPr>
              <w:t>inwestycji</w:t>
            </w:r>
            <w:proofErr w:type="spellEnd"/>
            <w:r w:rsidRPr="002C1265">
              <w:rPr>
                <w:iCs/>
              </w:rPr>
              <w:br/>
              <w:t>o    „Porównania relatywne” w szacowaniu stóp zwrotu</w:t>
            </w:r>
          </w:p>
        </w:tc>
      </w:tr>
    </w:tbl>
    <w:p w:rsidR="004D72C5" w:rsidRDefault="004D72C5" w:rsidP="00053A3B">
      <w:pPr>
        <w:spacing w:after="0"/>
      </w:pPr>
    </w:p>
    <w:p w:rsidR="002C1265" w:rsidRDefault="002C1265" w:rsidP="00053A3B">
      <w:pPr>
        <w:spacing w:after="0"/>
      </w:pPr>
    </w:p>
    <w:p w:rsidR="002C1265" w:rsidRDefault="002C1265" w:rsidP="00053A3B">
      <w:pPr>
        <w:spacing w:after="0"/>
      </w:pPr>
    </w:p>
    <w:p w:rsidR="002C1265" w:rsidRDefault="002C1265" w:rsidP="00053A3B">
      <w:pPr>
        <w:spacing w:after="0"/>
      </w:pPr>
    </w:p>
    <w:p w:rsidR="002C1265" w:rsidRPr="002C1265" w:rsidRDefault="002C1265" w:rsidP="00053A3B">
      <w:pPr>
        <w:spacing w:after="0"/>
        <w:rPr>
          <w:b/>
        </w:rPr>
      </w:pPr>
      <w:r w:rsidRPr="002C1265">
        <w:rPr>
          <w:b/>
        </w:rPr>
        <w:t xml:space="preserve">Lunch </w:t>
      </w:r>
    </w:p>
    <w:p w:rsidR="002C1265" w:rsidRDefault="002C1265" w:rsidP="00053A3B">
      <w:pPr>
        <w:spacing w:after="0"/>
      </w:pPr>
      <w:r>
        <w:t>13:30 – 14:20</w:t>
      </w:r>
    </w:p>
    <w:sectPr w:rsidR="002C1265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D72C5"/>
    <w:rsid w:val="00034783"/>
    <w:rsid w:val="00053A3B"/>
    <w:rsid w:val="002C1265"/>
    <w:rsid w:val="00391CD0"/>
    <w:rsid w:val="004D72C5"/>
    <w:rsid w:val="00C461CB"/>
    <w:rsid w:val="00DA691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2018-08-17T10:00:00Z</dcterms:created>
  <dcterms:modified xsi:type="dcterms:W3CDTF">2018-08-17T10:33:00Z</dcterms:modified>
</cp:coreProperties>
</file>