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09" w:rsidRPr="002E6209" w:rsidRDefault="002E6209" w:rsidP="002E6209">
      <w:pPr>
        <w:shd w:val="clear" w:color="auto" w:fill="FFFFFF"/>
        <w:spacing w:before="100" w:beforeAutospacing="1" w:after="100" w:afterAutospacing="1" w:line="270" w:lineRule="atLeast"/>
        <w:outlineLvl w:val="1"/>
        <w:rPr>
          <w:rFonts w:ascii="Arial" w:eastAsia="Times New Roman" w:hAnsi="Arial" w:cs="Arial"/>
          <w:caps/>
          <w:color w:val="2C4B84"/>
          <w:sz w:val="27"/>
          <w:szCs w:val="27"/>
          <w:lang w:eastAsia="pl-PL"/>
        </w:rPr>
      </w:pPr>
      <w:r w:rsidRPr="002E6209">
        <w:rPr>
          <w:rFonts w:ascii="Arial" w:eastAsia="Times New Roman" w:hAnsi="Arial" w:cs="Arial"/>
          <w:caps/>
          <w:color w:val="2C4B84"/>
          <w:sz w:val="27"/>
          <w:szCs w:val="27"/>
          <w:lang w:eastAsia="pl-PL"/>
        </w:rPr>
        <w:t>PROBLEMY RYNKU NIERUCHOMOŚCI NR 1/2015(43)</w:t>
      </w:r>
    </w:p>
    <w:p w:rsidR="002E6209" w:rsidRPr="002E6209" w:rsidRDefault="002E6209" w:rsidP="002E6209">
      <w:pPr>
        <w:shd w:val="clear" w:color="auto" w:fill="FFFFFF"/>
        <w:spacing w:before="100" w:beforeAutospacing="1" w:after="150" w:line="300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E6209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W numerze m.in:</w:t>
      </w:r>
    </w:p>
    <w:tbl>
      <w:tblPr>
        <w:tblW w:w="10950" w:type="dxa"/>
        <w:jc w:val="center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02"/>
        <w:gridCol w:w="6548"/>
      </w:tblGrid>
      <w:tr w:rsidR="002E6209" w:rsidRPr="002E6209" w:rsidTr="002E6209">
        <w:trPr>
          <w:tblCellSpacing w:w="37" w:type="dxa"/>
          <w:jc w:val="center"/>
        </w:trPr>
        <w:tc>
          <w:tcPr>
            <w:tcW w:w="2000" w:type="pct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Henryk Gawron, Łukasz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Strączkowski</w:t>
            </w:r>
            <w:proofErr w:type="spellEnd"/>
          </w:p>
        </w:tc>
        <w:tc>
          <w:tcPr>
            <w:tcW w:w="3000" w:type="pct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Przesłanki uwzględniania czynników jakościowych w badaniach rynku mieszkaniowego.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2000" w:type="pct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  <w:tc>
          <w:tcPr>
            <w:tcW w:w="3000" w:type="pct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Jerzy Dąbek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 xml:space="preserve">Wynagrodzenie za służebność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przesyłu</w:t>
            </w:r>
            <w:proofErr w:type="spellEnd"/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 xml:space="preserve"> na przykładzie urządzeń projektowanych do budowy.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en-US" w:eastAsia="pl-PL"/>
              </w:rPr>
              <w:t>Waldemar W.Budner, Aleksandra Mazur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Percepcja i funkcje przestrzeni publicznej w opinii jej użytkowników (przypadek Poznania).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Sławomir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Palicki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Potencjał nieruchomości handlowych w procesach ożywiania obszarów miejskich.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Piotr Kokowski, Piotr Pękala, Tomasz Kaczmarek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Poziom hałasu w obszarze ograniczonego użytkowania wokół portu lotniczego.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Piotr Lis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Cykle mieszkaniowe na polskim rynku nieruchomości.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Tomasz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Kotrasiński</w:t>
            </w:r>
            <w:proofErr w:type="spellEnd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, Wojciech Nurek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Metody eliminowania problemów związanych z wyceną nieruchomości przy wykorzystaniu nowych możliwości skutecznego obsługiwania procesu wyceny nieruchomości.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Elżbieta Ochocka, Szymon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Dalc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Komornicy sądowi płatnikami podatku VAT przy sprzedaży nieruchomości w trybie egzekucji komorniczej - kontrowersje związane z wyrokiem Trybunału Sprawiedliwości Unii Europejskiej.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Agnieszka Suchecka, Michał Mielnik, Milena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Wilbik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Uzyskanie zgody do wejścia na teren sąsiada w celu przeprowadzenia inwestycji (ze szczególnym uwzględnieniem kwestii odszkodowawczych).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lastRenderedPageBreak/>
              <w:t>Halina Stankowska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 xml:space="preserve">Ograniczone prawo rzeczowe - służebność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przesyłu</w:t>
            </w:r>
            <w:proofErr w:type="spellEnd"/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 xml:space="preserve"> w świetle obowiązujących przepisów prawa.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Łukasz Halik, Justyna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Tanaś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Dostępność usług rzeczoznawców majątkowych województwa wielkopolskiego.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Marcin Czarnecki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Nowa definicja nieruchomości - prawdy i mity wyceny nieruchomości rolnych.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Elena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Bykova</w:t>
            </w:r>
            <w:proofErr w:type="spellEnd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, Olgierd Kempa, Leszek Stanek, Izabela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Rącka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Organizacja pracy rzeczoznawcy majątkowego w Rosji.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Anna Górska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Zróżnicowanie kosztów utrzymania i wyposażenia zasobów mieszkaniowych według wielkości gospodarstwa domowego w Polsce.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Anna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Jancz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 xml:space="preserve">Zróżnicowanie przestrzenne skutków i perspektyw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suburbanizacji</w:t>
            </w:r>
            <w:proofErr w:type="spellEnd"/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 xml:space="preserve"> w aglomeracji poznańskiej.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E6209" w:rsidRPr="002E6209" w:rsidTr="002E6209">
        <w:trPr>
          <w:tblCellSpacing w:w="37" w:type="dxa"/>
          <w:jc w:val="center"/>
        </w:trPr>
        <w:tc>
          <w:tcPr>
            <w:tcW w:w="4665" w:type="dxa"/>
            <w:vAlign w:val="bottom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Sławomir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Palicki</w:t>
            </w:r>
            <w:proofErr w:type="spellEnd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 xml:space="preserve">, Izabela </w:t>
            </w:r>
            <w:proofErr w:type="spellStart"/>
            <w:r w:rsidRPr="002E6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pl-PL"/>
              </w:rPr>
              <w:t>Rącka</w:t>
            </w:r>
            <w:proofErr w:type="spellEnd"/>
          </w:p>
        </w:tc>
        <w:tc>
          <w:tcPr>
            <w:tcW w:w="6240" w:type="dxa"/>
            <w:vAlign w:val="center"/>
            <w:hideMark/>
          </w:tcPr>
          <w:p w:rsidR="002E6209" w:rsidRPr="002E6209" w:rsidRDefault="002E6209" w:rsidP="002E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pl-PL"/>
              </w:rPr>
              <w:t>Rynek mieszkaniowy obszarów śródmiejskich Poznania i Kalisza w obliczu potencjalnych zmian przestrzeni zurbanizowanej.</w:t>
            </w:r>
          </w:p>
        </w:tc>
      </w:tr>
    </w:tbl>
    <w:p w:rsidR="002E6209" w:rsidRPr="002E6209" w:rsidRDefault="002E6209" w:rsidP="002E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20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A7069" w:rsidRDefault="002E6209">
      <w:bookmarkStart w:id="0" w:name="_GoBack"/>
      <w:bookmarkEnd w:id="0"/>
    </w:p>
    <w:sectPr w:rsidR="009A7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209"/>
    <w:rsid w:val="00206F5B"/>
    <w:rsid w:val="002E6209"/>
    <w:rsid w:val="00362C58"/>
    <w:rsid w:val="006F3DBB"/>
    <w:rsid w:val="009B395D"/>
    <w:rsid w:val="00B158B0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6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62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2E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6209"/>
    <w:rPr>
      <w:b/>
      <w:bCs/>
    </w:rPr>
  </w:style>
  <w:style w:type="character" w:styleId="Uwydatnienie">
    <w:name w:val="Emphasis"/>
    <w:basedOn w:val="Domylnaczcionkaakapitu"/>
    <w:uiPriority w:val="20"/>
    <w:qFormat/>
    <w:rsid w:val="002E62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6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62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2E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6209"/>
    <w:rPr>
      <w:b/>
      <w:bCs/>
    </w:rPr>
  </w:style>
  <w:style w:type="character" w:styleId="Uwydatnienie">
    <w:name w:val="Emphasis"/>
    <w:basedOn w:val="Domylnaczcionkaakapitu"/>
    <w:uiPriority w:val="20"/>
    <w:qFormat/>
    <w:rsid w:val="002E62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Bartosz Piechcikowy</cp:lastModifiedBy>
  <cp:revision>1</cp:revision>
  <dcterms:created xsi:type="dcterms:W3CDTF">2016-10-25T11:58:00Z</dcterms:created>
  <dcterms:modified xsi:type="dcterms:W3CDTF">2016-10-25T11:58:00Z</dcterms:modified>
</cp:coreProperties>
</file>