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EE4FA4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11-12.02.2019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E4FA4">
        <w:rPr>
          <w:sz w:val="28"/>
          <w:szCs w:val="28"/>
          <w:u w:val="single"/>
        </w:rPr>
        <w:t>Wyceny nieruchomości zabudowanych stacją paliw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EE4FA4">
        <w:rPr>
          <w:sz w:val="28"/>
          <w:szCs w:val="28"/>
          <w:u w:val="single"/>
        </w:rPr>
        <w:t>Mirosława Czaplińska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E2F2E"/>
    <w:rsid w:val="006A7DA5"/>
    <w:rsid w:val="00744CC9"/>
    <w:rsid w:val="008056D2"/>
    <w:rsid w:val="00916648"/>
    <w:rsid w:val="00970B91"/>
    <w:rsid w:val="00B7176E"/>
    <w:rsid w:val="00C23BFF"/>
    <w:rsid w:val="00EE4FA4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2018-07-25T13:24:00Z</cp:lastPrinted>
  <dcterms:created xsi:type="dcterms:W3CDTF">2018-10-26T13:17:00Z</dcterms:created>
  <dcterms:modified xsi:type="dcterms:W3CDTF">2018-10-26T13:17:00Z</dcterms:modified>
</cp:coreProperties>
</file>