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D9" w:rsidRDefault="00B965D9" w:rsidP="00B965D9">
      <w:pPr>
        <w:pStyle w:val="Tekstpodstawowy3"/>
        <w:ind w:right="-426"/>
        <w:jc w:val="center"/>
        <w:rPr>
          <w:rFonts w:ascii="Times New Roman" w:hAnsi="Times New Roman" w:cs="Times New Roman"/>
          <w:i w:val="0"/>
          <w:iCs w:val="0"/>
          <w:sz w:val="24"/>
          <w:szCs w:val="24"/>
          <w:u w:val="single"/>
        </w:rPr>
      </w:pPr>
      <w:r>
        <w:rPr>
          <w:rFonts w:ascii="Times New Roman" w:hAnsi="Times New Roman" w:cs="Times New Roman"/>
          <w:i w:val="0"/>
          <w:iCs w:val="0"/>
          <w:sz w:val="24"/>
          <w:szCs w:val="24"/>
          <w:u w:val="single"/>
        </w:rPr>
        <w:t>PROGRAMY SZKOLEŃ I INFORMACJE O WYKŁADOWCACH</w:t>
      </w:r>
    </w:p>
    <w:p w:rsidR="00B965D9" w:rsidRDefault="00B965D9" w:rsidP="00B965D9">
      <w:pPr>
        <w:pStyle w:val="Tekstpodstawowy3"/>
        <w:ind w:right="-426"/>
        <w:rPr>
          <w:rFonts w:ascii="Times New Roman" w:hAnsi="Times New Roman" w:cs="Times New Roman"/>
          <w:i w:val="0"/>
          <w:iCs w:val="0"/>
          <w:sz w:val="24"/>
          <w:szCs w:val="24"/>
          <w:u w:val="single"/>
        </w:rPr>
      </w:pPr>
    </w:p>
    <w:p w:rsidR="00B965D9" w:rsidRDefault="00B965D9" w:rsidP="00B965D9">
      <w:pPr>
        <w:jc w:val="both"/>
        <w:rPr>
          <w:b/>
          <w:sz w:val="24"/>
          <w:szCs w:val="24"/>
        </w:rPr>
      </w:pPr>
      <w:r>
        <w:rPr>
          <w:b/>
          <w:sz w:val="24"/>
          <w:szCs w:val="24"/>
        </w:rPr>
        <w:t>temat: „</w:t>
      </w:r>
      <w:r>
        <w:rPr>
          <w:b/>
          <w:i/>
          <w:szCs w:val="28"/>
        </w:rPr>
        <w:t>Wartość rynkowa w świetle nowelizacji ustawy o gospodarce nieruchomościami</w:t>
      </w:r>
      <w:r>
        <w:rPr>
          <w:b/>
          <w:i/>
          <w:iCs/>
          <w:sz w:val="24"/>
          <w:szCs w:val="24"/>
        </w:rPr>
        <w:t>”</w:t>
      </w:r>
    </w:p>
    <w:p w:rsidR="00B965D9" w:rsidRDefault="00B965D9" w:rsidP="00B965D9">
      <w:pPr>
        <w:jc w:val="both"/>
        <w:rPr>
          <w:sz w:val="24"/>
          <w:szCs w:val="24"/>
        </w:rPr>
      </w:pPr>
      <w:r>
        <w:rPr>
          <w:b/>
          <w:bCs/>
          <w:sz w:val="24"/>
          <w:szCs w:val="24"/>
        </w:rPr>
        <w:t>wykładowca: prof. dr hab. Ewa Kucharska – Stasiak</w:t>
      </w:r>
      <w:r>
        <w:rPr>
          <w:sz w:val="24"/>
          <w:szCs w:val="24"/>
        </w:rPr>
        <w:t xml:space="preserve"> </w:t>
      </w:r>
    </w:p>
    <w:p w:rsidR="00B965D9" w:rsidRDefault="00B965D9" w:rsidP="00B965D9">
      <w:pPr>
        <w:rPr>
          <w:rFonts w:ascii="Calibri" w:hAnsi="Calibri"/>
          <w:b/>
          <w:i/>
          <w:sz w:val="24"/>
          <w:szCs w:val="24"/>
        </w:rPr>
      </w:pPr>
    </w:p>
    <w:p w:rsidR="00B965D9" w:rsidRDefault="00B965D9" w:rsidP="00B965D9">
      <w:pPr>
        <w:jc w:val="center"/>
        <w:rPr>
          <w:b/>
          <w:sz w:val="24"/>
          <w:szCs w:val="24"/>
        </w:rPr>
      </w:pPr>
      <w:r>
        <w:rPr>
          <w:b/>
          <w:sz w:val="24"/>
          <w:szCs w:val="24"/>
        </w:rPr>
        <w:t>Program szkolenia</w:t>
      </w:r>
    </w:p>
    <w:p w:rsidR="00B965D9" w:rsidRDefault="00B965D9" w:rsidP="00B965D9">
      <w:pPr>
        <w:jc w:val="center"/>
        <w:rPr>
          <w:rFonts w:ascii="Calibri" w:hAnsi="Calibri"/>
          <w:b/>
          <w:sz w:val="16"/>
          <w:szCs w:val="16"/>
        </w:rPr>
      </w:pP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Nowa  definicja wartości rynkowej. Porównanie obu definicji</w:t>
      </w:r>
    </w:p>
    <w:p w:rsidR="00B965D9" w:rsidRDefault="00B965D9" w:rsidP="00B965D9">
      <w:pPr>
        <w:pStyle w:val="Akapitzlist"/>
        <w:ind w:left="426"/>
        <w:rPr>
          <w:rFonts w:ascii="Times New Roman" w:hAnsi="Times New Roman"/>
          <w:sz w:val="24"/>
          <w:szCs w:val="24"/>
        </w:rPr>
      </w:pPr>
      <w:r>
        <w:rPr>
          <w:rFonts w:ascii="Times New Roman" w:hAnsi="Times New Roman"/>
          <w:sz w:val="24"/>
          <w:szCs w:val="24"/>
        </w:rPr>
        <w:t>1.1. Dotychczasowa definicja prawna wartości rynkowej nieruchomości (art. 151.1 u.o g.n.)</w:t>
      </w:r>
    </w:p>
    <w:p w:rsidR="00B965D9" w:rsidRDefault="00B965D9" w:rsidP="00B965D9">
      <w:pPr>
        <w:pStyle w:val="Akapitzlist"/>
        <w:ind w:left="426"/>
        <w:rPr>
          <w:rFonts w:ascii="Times New Roman" w:hAnsi="Times New Roman"/>
          <w:sz w:val="24"/>
          <w:szCs w:val="24"/>
        </w:rPr>
      </w:pPr>
      <w:r>
        <w:rPr>
          <w:rFonts w:ascii="Times New Roman" w:hAnsi="Times New Roman"/>
          <w:sz w:val="24"/>
          <w:szCs w:val="24"/>
        </w:rPr>
        <w:t>1.2. Nowy zapis  definicji wartości rynkowej nieruchomości (art. 151.1 u o g. n.)</w:t>
      </w:r>
    </w:p>
    <w:p w:rsidR="00B965D9" w:rsidRDefault="00B965D9" w:rsidP="00B965D9">
      <w:pPr>
        <w:pStyle w:val="Akapitzlist"/>
        <w:ind w:left="426"/>
        <w:rPr>
          <w:rFonts w:ascii="Times New Roman" w:hAnsi="Times New Roman"/>
          <w:sz w:val="24"/>
          <w:szCs w:val="24"/>
        </w:rPr>
      </w:pPr>
      <w:r>
        <w:rPr>
          <w:rFonts w:ascii="Times New Roman" w:hAnsi="Times New Roman"/>
          <w:sz w:val="24"/>
          <w:szCs w:val="24"/>
        </w:rPr>
        <w:t>1.3. Źródła pochodzenia nowego zapisu  definicji wartości rynkowej</w:t>
      </w:r>
    </w:p>
    <w:p w:rsidR="00B965D9" w:rsidRDefault="00B965D9" w:rsidP="00B965D9">
      <w:pPr>
        <w:pStyle w:val="Akapitzlist"/>
        <w:ind w:left="425"/>
        <w:rPr>
          <w:rFonts w:ascii="Times New Roman" w:hAnsi="Times New Roman"/>
          <w:sz w:val="24"/>
          <w:szCs w:val="24"/>
        </w:rPr>
      </w:pPr>
      <w:r>
        <w:rPr>
          <w:rFonts w:ascii="Times New Roman" w:hAnsi="Times New Roman"/>
          <w:sz w:val="24"/>
          <w:szCs w:val="24"/>
        </w:rPr>
        <w:t>1.4. Porównanie obu definicji</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Czy ta zmiana jest konieczna?</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Czy ta zmiana jest istotna? Czy ma ona znaczenie kosmetyczne czy rewolucyjne?</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 xml:space="preserve">Interpretacja wartości rynkowej </w:t>
      </w:r>
    </w:p>
    <w:p w:rsidR="00B965D9" w:rsidRDefault="00B965D9" w:rsidP="00B965D9">
      <w:pPr>
        <w:spacing w:after="200" w:line="276" w:lineRule="auto"/>
        <w:ind w:firstLine="426"/>
        <w:rPr>
          <w:sz w:val="24"/>
          <w:szCs w:val="24"/>
        </w:rPr>
      </w:pPr>
      <w:r>
        <w:rPr>
          <w:sz w:val="24"/>
          <w:szCs w:val="24"/>
        </w:rPr>
        <w:t>4.1. Elementy interpretacyjne definicji wartości rynkowej</w:t>
      </w:r>
    </w:p>
    <w:p w:rsidR="00B965D9" w:rsidRDefault="00B965D9" w:rsidP="00B965D9">
      <w:pPr>
        <w:tabs>
          <w:tab w:val="left" w:pos="709"/>
        </w:tabs>
        <w:spacing w:after="200" w:line="276" w:lineRule="auto"/>
        <w:ind w:left="851" w:hanging="425"/>
        <w:rPr>
          <w:sz w:val="24"/>
          <w:szCs w:val="24"/>
        </w:rPr>
      </w:pPr>
      <w:r>
        <w:rPr>
          <w:sz w:val="24"/>
          <w:szCs w:val="24"/>
        </w:rPr>
        <w:t>4.2. Wartość nadziei  a koncepcja optymalnego sposobu wykorzystania jako elementy interpretacyjne wartości rynkowej</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Uzasadnienie ekonomiczne koncepcji wartości rynkowej</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Źródła problemów z akceptacją w Polsce nowej definicji i interpretacji wartości rynkowej nieruchomości</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Co niesie zmiana definicji dla praktyki wyceny nieruchomości?</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Piętnaście mitów o wartości rynkowej</w:t>
      </w:r>
    </w:p>
    <w:p w:rsidR="00B965D9" w:rsidRDefault="00B965D9" w:rsidP="00B965D9">
      <w:pPr>
        <w:pStyle w:val="Akapitzlist"/>
        <w:numPr>
          <w:ilvl w:val="0"/>
          <w:numId w:val="1"/>
        </w:numPr>
        <w:rPr>
          <w:rFonts w:ascii="Times New Roman" w:hAnsi="Times New Roman"/>
          <w:sz w:val="24"/>
          <w:szCs w:val="24"/>
        </w:rPr>
      </w:pPr>
      <w:r>
        <w:rPr>
          <w:rFonts w:ascii="Times New Roman" w:hAnsi="Times New Roman"/>
          <w:sz w:val="24"/>
          <w:szCs w:val="24"/>
        </w:rPr>
        <w:t>Przykłady dochodzenia do wartości rynkowej</w:t>
      </w:r>
    </w:p>
    <w:p w:rsidR="00B965D9" w:rsidRDefault="00B965D9" w:rsidP="00B965D9">
      <w:pPr>
        <w:ind w:left="426" w:hanging="426"/>
        <w:rPr>
          <w:rFonts w:ascii="Bookman Old Style" w:hAnsi="Bookman Old Style" w:cs="Bookman Old Style"/>
          <w:b/>
          <w:bCs/>
          <w:sz w:val="24"/>
          <w:szCs w:val="24"/>
        </w:rPr>
      </w:pPr>
      <w:r>
        <w:rPr>
          <w:rFonts w:ascii="Bookman Old Style" w:hAnsi="Bookman Old Style" w:cs="Bookman Old Style"/>
          <w:b/>
          <w:bCs/>
          <w:sz w:val="24"/>
          <w:szCs w:val="24"/>
        </w:rPr>
        <w:t>Informacja o wykładowcy:</w:t>
      </w:r>
    </w:p>
    <w:p w:rsidR="00B965D9" w:rsidRDefault="00B965D9" w:rsidP="00B965D9">
      <w:pPr>
        <w:tabs>
          <w:tab w:val="num" w:pos="0"/>
        </w:tabs>
        <w:jc w:val="both"/>
        <w:rPr>
          <w:i/>
          <w:sz w:val="24"/>
          <w:szCs w:val="24"/>
        </w:rPr>
      </w:pPr>
      <w:r>
        <w:rPr>
          <w:b/>
          <w:bCs/>
          <w:i/>
          <w:iCs/>
          <w:sz w:val="24"/>
          <w:szCs w:val="24"/>
        </w:rPr>
        <w:t xml:space="preserve">Prof. dr hab. Ewa Kucharska - Stasiak </w:t>
      </w:r>
      <w:r>
        <w:rPr>
          <w:i/>
          <w:sz w:val="24"/>
          <w:szCs w:val="24"/>
        </w:rPr>
        <w:t xml:space="preserve">– rzeczoznawca majątkowy, nr uprawnień zawodowych 254, </w:t>
      </w:r>
      <w:r>
        <w:rPr>
          <w:rStyle w:val="Uwydatnienie"/>
          <w:i w:val="0"/>
          <w:sz w:val="24"/>
          <w:szCs w:val="24"/>
        </w:rPr>
        <w:t xml:space="preserve">Kierownik Katedry Inwestycji i Nieruchomości Instytut Gospodarki Przestrzennej U.Ł. Kierownik stadium podyplomowego “Rynek Nieruchomości – Wycena na Wydziale Ekonomiczno- Socjologicznym” U.Ł. Przewodnicząca Państwowej Komisji do spraw Nadawania Uprawnień Zawodowych rzeczoznawcy majątkowego, pośrednika w obrocie nieruchomościami i zarządcy przy Ministrze Infrastruktury w latach 2005-2009. Członek Podkomisji do spraw Nadawania Uprawnień Zawodowych rzeczoznawcy majątkowego przy Ministrze Infrastruktury. Przewodnicząca Rady Programowej Towarzystwa Naukowego Nieruchomości, członek Stowarzyszenia Doradców Rynku Nieruchomości. Przewodnicząca Kapituły Medalu „Zasłużony dla Polskiego Rynku Nieruchomości PRO AEQUO ET BONO”. Wykładane przedmioty: Gospodarka nieruchomościami (wykład na kierunku gospodarka przestrzenna), Ekonomika nieruchomości, Wycena nieruchomości, Zarządzanie nieruchomościami, Inwestowanie w nieruchomości, Funkcjonowanie rynków nieruchomości, Dorobek naukowy: monografie i podręczniki akademickie, autorstwo i współautorstwo w 11 pozycjach, rozdziały w monografiach i podręcznikach akademickich w ośmiu pozycjach książkowych, publikacje w czasopismach – około 147 publikacji, Członkostwo w organizacjach i towarzystwach naukowych – Towarzystwo Naukowe Nieruchomości ( Przewodnicząca Rady Programowej), </w:t>
      </w:r>
      <w:r>
        <w:rPr>
          <w:rStyle w:val="Uwydatnienie"/>
          <w:i w:val="0"/>
          <w:sz w:val="24"/>
          <w:szCs w:val="24"/>
        </w:rPr>
        <w:lastRenderedPageBreak/>
        <w:t>ERES ( European Real Estate Society) – członek, Działalność na rzecz praktyki: kierownictwo i współudział w diagnozach gospodarowania nieruchomościami na szczeblu gminy Łódź, kierownictwo i współudział w opracowaniu strategii mieszkaniowej dla gminy Łódź, autorka ekspertyz i opinii przygotowanych dla Ministerstwa Infrastruktury, współudział w opracowaniu standardu zawodowego rzeczoznawców majątkowych „Wartość rynkowa jako podstawa wyceny”, „Wartość rynkowa i wartość odtworzeniowa”, opracowanie o warunkach mieszkaniowych dla potrzeb przygotowania studium uwarunkowań i kierunków zagospodarowania przestrzennego gminy Łódź. Wyróżniona prestiżowym Złotym Medalem Zasłużony dla Polskiego Rynku Nieruchomości „PRO AEQUO ET BONO”.</w:t>
      </w:r>
    </w:p>
    <w:p w:rsidR="00B965D9" w:rsidRDefault="00B965D9" w:rsidP="00B965D9"/>
    <w:p w:rsidR="00B965D9" w:rsidRDefault="00B965D9" w:rsidP="00B965D9">
      <w:pPr>
        <w:spacing w:line="276" w:lineRule="auto"/>
        <w:jc w:val="both"/>
        <w:rPr>
          <w:b/>
          <w:sz w:val="24"/>
          <w:szCs w:val="24"/>
        </w:rPr>
      </w:pPr>
      <w:r>
        <w:rPr>
          <w:b/>
          <w:sz w:val="24"/>
          <w:szCs w:val="24"/>
        </w:rPr>
        <w:t>temat: –„</w:t>
      </w:r>
      <w:r>
        <w:rPr>
          <w:b/>
          <w:i/>
          <w:iCs/>
        </w:rPr>
        <w:t>Wycena wód i gruntów pod wodami oraz wybrane aspekty gospodarowania nieruchomościami w świetle aktualnego prawa wodnego</w:t>
      </w:r>
      <w:r>
        <w:rPr>
          <w:b/>
        </w:rPr>
        <w:t xml:space="preserve">” </w:t>
      </w:r>
      <w:r>
        <w:rPr>
          <w:rFonts w:eastAsia="SimSun"/>
          <w:sz w:val="24"/>
          <w:szCs w:val="24"/>
          <w:lang w:eastAsia="zh-CN"/>
        </w:rPr>
        <w:t xml:space="preserve">– </w:t>
      </w:r>
      <w:r>
        <w:rPr>
          <w:rFonts w:eastAsia="SimSun"/>
          <w:b/>
          <w:bCs/>
          <w:sz w:val="24"/>
          <w:szCs w:val="24"/>
          <w:lang w:eastAsia="zh-CN"/>
        </w:rPr>
        <w:t>wykładowca</w:t>
      </w:r>
      <w:r>
        <w:rPr>
          <w:rFonts w:eastAsia="SimSun"/>
          <w:bCs/>
          <w:sz w:val="24"/>
          <w:szCs w:val="24"/>
          <w:lang w:eastAsia="zh-CN"/>
        </w:rPr>
        <w:t>:</w:t>
      </w:r>
      <w:r>
        <w:rPr>
          <w:rFonts w:eastAsia="SimSun"/>
          <w:sz w:val="24"/>
          <w:szCs w:val="24"/>
          <w:lang w:eastAsia="zh-CN"/>
        </w:rPr>
        <w:t xml:space="preserve"> </w:t>
      </w:r>
      <w:r>
        <w:rPr>
          <w:rFonts w:eastAsia="SimSun"/>
          <w:b/>
          <w:sz w:val="24"/>
          <w:szCs w:val="24"/>
          <w:lang w:eastAsia="zh-CN"/>
        </w:rPr>
        <w:t>prof. dr hab.</w:t>
      </w:r>
      <w:r>
        <w:rPr>
          <w:rFonts w:eastAsia="SimSun"/>
          <w:sz w:val="24"/>
          <w:szCs w:val="24"/>
          <w:lang w:eastAsia="zh-CN"/>
        </w:rPr>
        <w:t xml:space="preserve"> </w:t>
      </w:r>
      <w:r>
        <w:rPr>
          <w:b/>
          <w:sz w:val="24"/>
          <w:szCs w:val="24"/>
        </w:rPr>
        <w:t>Konrad Turkowski</w:t>
      </w:r>
    </w:p>
    <w:p w:rsidR="00B965D9" w:rsidRDefault="00B965D9" w:rsidP="00B965D9">
      <w:pPr>
        <w:pStyle w:val="Tekstpodstawowy3"/>
        <w:ind w:right="-426"/>
        <w:rPr>
          <w:rFonts w:ascii="Times New Roman" w:hAnsi="Times New Roman" w:cs="Times New Roman"/>
          <w:i w:val="0"/>
          <w:iCs w:val="0"/>
          <w:sz w:val="16"/>
          <w:szCs w:val="16"/>
          <w:u w:val="single"/>
        </w:rPr>
      </w:pPr>
    </w:p>
    <w:p w:rsidR="00B965D9" w:rsidRDefault="00B965D9" w:rsidP="00B965D9">
      <w:pPr>
        <w:rPr>
          <w:b/>
          <w:sz w:val="24"/>
          <w:szCs w:val="24"/>
        </w:rPr>
      </w:pPr>
      <w:r>
        <w:rPr>
          <w:b/>
          <w:sz w:val="24"/>
          <w:szCs w:val="24"/>
        </w:rPr>
        <w:t>Cel i zakres szkolenia</w:t>
      </w:r>
    </w:p>
    <w:p w:rsidR="00B965D9" w:rsidRDefault="00B965D9" w:rsidP="00B965D9">
      <w:pPr>
        <w:jc w:val="both"/>
        <w:rPr>
          <w:sz w:val="24"/>
          <w:szCs w:val="24"/>
        </w:rPr>
      </w:pPr>
      <w:r>
        <w:rPr>
          <w:sz w:val="24"/>
          <w:szCs w:val="24"/>
        </w:rPr>
        <w:t xml:space="preserve">zapoznanie uczestników z zasadami oraz przykładami wycen wód i gruntów pod wodami </w:t>
      </w:r>
      <w:r>
        <w:rPr>
          <w:sz w:val="24"/>
          <w:szCs w:val="24"/>
        </w:rPr>
        <w:br/>
        <w:t xml:space="preserve">z uwzględnieniem regulacji zawartych w aktualnym Prawie wodnym. </w:t>
      </w:r>
    </w:p>
    <w:p w:rsidR="00B965D9" w:rsidRDefault="00B965D9" w:rsidP="00B965D9">
      <w:pPr>
        <w:rPr>
          <w:b/>
          <w:sz w:val="24"/>
          <w:szCs w:val="24"/>
        </w:rPr>
      </w:pPr>
    </w:p>
    <w:p w:rsidR="00B965D9" w:rsidRDefault="00B965D9" w:rsidP="00B965D9">
      <w:pPr>
        <w:jc w:val="center"/>
        <w:rPr>
          <w:b/>
          <w:sz w:val="24"/>
          <w:szCs w:val="24"/>
        </w:rPr>
      </w:pPr>
      <w:r>
        <w:rPr>
          <w:b/>
          <w:sz w:val="24"/>
          <w:szCs w:val="24"/>
        </w:rPr>
        <w:t>Program szkolenia</w:t>
      </w:r>
    </w:p>
    <w:p w:rsidR="00B965D9" w:rsidRDefault="00B965D9" w:rsidP="00B965D9">
      <w:pPr>
        <w:jc w:val="center"/>
        <w:rPr>
          <w:rFonts w:ascii="Calibri" w:hAnsi="Calibri"/>
          <w:b/>
          <w:sz w:val="16"/>
          <w:szCs w:val="16"/>
        </w:rPr>
      </w:pP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 xml:space="preserve">podstawy prawne wód, klasyfikacja, własność, zasady obrotu wód i gruntów pod wodami,  </w:t>
      </w: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podstawy formalne wycen wód i gruntów pod wodami,</w:t>
      </w: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wycena stawów rybnych (dobór i zasady stopniowania atrybutów rynkowych stawów rybnych – ocena wartości użytkowej, przykłady stosowania różnych podejść i metod w wycenie obiektów stawowych),</w:t>
      </w: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 xml:space="preserve">wycena pozostałych gruntów pod wodami wraz z przykładami (rowy, nieużytki wodne, oczka wodne, jeziora i inne), </w:t>
      </w: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zasady i przykłady określenia wartości rynkowej oczekiwanego czynszu dzierżawnego nieruchomości typu stawy i zbiorniki wodne sklasyfikowane jako wody stojące (jeziora i inne naturalne zbiorniki wodne),</w:t>
      </w:r>
    </w:p>
    <w:p w:rsidR="00B965D9" w:rsidRDefault="00B965D9" w:rsidP="00B965D9">
      <w:pPr>
        <w:pStyle w:val="Akapitzlist"/>
        <w:numPr>
          <w:ilvl w:val="0"/>
          <w:numId w:val="2"/>
        </w:numPr>
        <w:ind w:left="714" w:hanging="357"/>
        <w:rPr>
          <w:rFonts w:ascii="Times New Roman" w:hAnsi="Times New Roman"/>
          <w:sz w:val="24"/>
          <w:szCs w:val="24"/>
        </w:rPr>
      </w:pPr>
      <w:r>
        <w:rPr>
          <w:rFonts w:ascii="Times New Roman" w:hAnsi="Times New Roman"/>
          <w:sz w:val="24"/>
          <w:szCs w:val="24"/>
        </w:rPr>
        <w:t xml:space="preserve">najważniejsze zmiany dotyczące gospodarki nieruchomościami zawarte w aktualnym Prawie wodnym (nowa administracja wodna, uwarunkowania planistyczne, zasady korzystania z wód, usługi wodne ze szczególnym uwzględnieniem usług związanych </w:t>
      </w:r>
      <w:r>
        <w:rPr>
          <w:rFonts w:ascii="Times New Roman" w:hAnsi="Times New Roman"/>
          <w:sz w:val="24"/>
          <w:szCs w:val="24"/>
        </w:rPr>
        <w:br/>
        <w:t>z nieruchomościami, w tym zgoda wodnoprawna i opłaty za odprowadzanie wód opadowych, zmniejszenie retencji terenowej itd.).</w:t>
      </w:r>
    </w:p>
    <w:p w:rsidR="00B965D9" w:rsidRDefault="00B965D9" w:rsidP="00B965D9">
      <w:pPr>
        <w:rPr>
          <w:rFonts w:ascii="Bookman Old Style" w:hAnsi="Bookman Old Style" w:cs="Bookman Old Style"/>
          <w:b/>
          <w:bCs/>
          <w:sz w:val="24"/>
          <w:szCs w:val="24"/>
        </w:rPr>
      </w:pPr>
      <w:r>
        <w:rPr>
          <w:rFonts w:ascii="Bookman Old Style" w:hAnsi="Bookman Old Style" w:cs="Bookman Old Style"/>
          <w:b/>
          <w:bCs/>
          <w:sz w:val="24"/>
          <w:szCs w:val="24"/>
        </w:rPr>
        <w:t>Informacja o wykładowcy:</w:t>
      </w:r>
    </w:p>
    <w:p w:rsidR="00B965D9" w:rsidRDefault="00B965D9" w:rsidP="00B965D9">
      <w:pPr>
        <w:jc w:val="both"/>
        <w:rPr>
          <w:i/>
          <w:iCs/>
          <w:sz w:val="24"/>
          <w:szCs w:val="24"/>
          <w:u w:val="single"/>
        </w:rPr>
      </w:pPr>
      <w:r>
        <w:rPr>
          <w:sz w:val="24"/>
          <w:szCs w:val="24"/>
        </w:rPr>
        <w:t>Konrad Turkowski - mgr inż. rybactwa śródlądowego, dr nauk rolniczych, dr hab. nauk ekonomicznych, prof. Uniwersytetu Warmińsko-Mazurskiego w Olsztynie. Kierownik Katedry Ekonomii Środowiska, Nieruchomości i Agrobiznesu Wydziału Nauk Ekonomicznych na Uniwersytecie Warmińsko-Mazurskim w Olsztynie. Rzeczoznawca majątkowy, numer uprawnień zawodowych 848. Specjalizuje się w wycenach i innych ekspertyzach dotyczących wód śródlądowych, w tym przede wszystkim stawów i jezior.</w:t>
      </w:r>
      <w:r>
        <w:rPr>
          <w:i/>
          <w:iCs/>
          <w:sz w:val="24"/>
          <w:szCs w:val="24"/>
          <w:u w:val="single"/>
        </w:rPr>
        <w:t xml:space="preserve"> </w:t>
      </w:r>
    </w:p>
    <w:p w:rsidR="00F45E36" w:rsidRDefault="00F45E36"/>
    <w:sectPr w:rsidR="00F45E36" w:rsidSect="00F45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E793D"/>
    <w:multiLevelType w:val="multilevel"/>
    <w:tmpl w:val="35A43B5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7601B80"/>
    <w:multiLevelType w:val="hybridMultilevel"/>
    <w:tmpl w:val="463A92A2"/>
    <w:lvl w:ilvl="0" w:tplc="614E689E">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965D9"/>
    <w:rsid w:val="00277D60"/>
    <w:rsid w:val="00391CD0"/>
    <w:rsid w:val="00B965D9"/>
    <w:rsid w:val="00F45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5D9"/>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B965D9"/>
    <w:pPr>
      <w:jc w:val="both"/>
    </w:pPr>
    <w:rPr>
      <w:rFonts w:ascii="Arial" w:hAnsi="Arial" w:cs="Arial"/>
      <w:b/>
      <w:bCs/>
      <w:i/>
      <w:iCs/>
    </w:rPr>
  </w:style>
  <w:style w:type="character" w:customStyle="1" w:styleId="Tekstpodstawowy3Znak">
    <w:name w:val="Tekst podstawowy 3 Znak"/>
    <w:basedOn w:val="Domylnaczcionkaakapitu"/>
    <w:link w:val="Tekstpodstawowy3"/>
    <w:semiHidden/>
    <w:rsid w:val="00B965D9"/>
    <w:rPr>
      <w:rFonts w:ascii="Arial" w:eastAsia="Times New Roman" w:hAnsi="Arial" w:cs="Arial"/>
      <w:b/>
      <w:bCs/>
      <w:i/>
      <w:iCs/>
      <w:sz w:val="28"/>
      <w:szCs w:val="20"/>
      <w:lang w:eastAsia="pl-PL"/>
    </w:rPr>
  </w:style>
  <w:style w:type="paragraph" w:styleId="Akapitzlist">
    <w:name w:val="List Paragraph"/>
    <w:basedOn w:val="Normalny"/>
    <w:uiPriority w:val="34"/>
    <w:qFormat/>
    <w:rsid w:val="00B965D9"/>
    <w:pPr>
      <w:spacing w:after="200" w:line="276" w:lineRule="auto"/>
      <w:ind w:left="720"/>
      <w:contextualSpacing/>
    </w:pPr>
    <w:rPr>
      <w:rFonts w:ascii="Calibri" w:hAnsi="Calibri"/>
      <w:sz w:val="22"/>
      <w:szCs w:val="22"/>
    </w:rPr>
  </w:style>
  <w:style w:type="character" w:styleId="Uwydatnienie">
    <w:name w:val="Emphasis"/>
    <w:basedOn w:val="Domylnaczcionkaakapitu"/>
    <w:uiPriority w:val="20"/>
    <w:qFormat/>
    <w:rsid w:val="00B965D9"/>
    <w:rPr>
      <w:i/>
      <w:iCs/>
    </w:rPr>
  </w:style>
</w:styles>
</file>

<file path=word/webSettings.xml><?xml version="1.0" encoding="utf-8"?>
<w:webSettings xmlns:r="http://schemas.openxmlformats.org/officeDocument/2006/relationships" xmlns:w="http://schemas.openxmlformats.org/wordprocessingml/2006/main">
  <w:divs>
    <w:div w:id="10644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4444</Characters>
  <Application>Microsoft Office Word</Application>
  <DocSecurity>0</DocSecurity>
  <Lines>37</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2018-09-07T09:32:00Z</dcterms:created>
  <dcterms:modified xsi:type="dcterms:W3CDTF">2018-09-07T09:32:00Z</dcterms:modified>
</cp:coreProperties>
</file>