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8C" w:rsidRDefault="003A4E4F" w:rsidP="00BF5B8C">
      <w:pPr>
        <w:jc w:val="center"/>
        <w:rPr>
          <w:b/>
        </w:rPr>
      </w:pPr>
      <w:r w:rsidRPr="00BF5B8C">
        <w:rPr>
          <w:b/>
        </w:rPr>
        <w:t>Wymogi redakcyjne</w:t>
      </w:r>
      <w:r w:rsidR="0090422E" w:rsidRPr="00BF5B8C">
        <w:rPr>
          <w:b/>
        </w:rPr>
        <w:t xml:space="preserve"> dla autorów artykułów publikowanych w kwartalniku</w:t>
      </w:r>
    </w:p>
    <w:p w:rsidR="00EE2FF2" w:rsidRPr="00BF5B8C" w:rsidRDefault="00BF5B8C" w:rsidP="00BF5B8C">
      <w:pPr>
        <w:jc w:val="center"/>
        <w:rPr>
          <w:b/>
        </w:rPr>
      </w:pPr>
      <w:r w:rsidRPr="00BF5B8C">
        <w:rPr>
          <w:b/>
        </w:rPr>
        <w:t>„</w:t>
      </w:r>
      <w:r w:rsidR="0090422E" w:rsidRPr="00BF5B8C">
        <w:rPr>
          <w:b/>
        </w:rPr>
        <w:t>Rzeczoznawca Majątkowy”</w:t>
      </w:r>
    </w:p>
    <w:p w:rsidR="00177DD7" w:rsidRDefault="00177DD7" w:rsidP="0090422E">
      <w:pPr>
        <w:jc w:val="both"/>
      </w:pPr>
      <w:r>
        <w:t xml:space="preserve">Redakcja kwartalnika </w:t>
      </w:r>
      <w:r w:rsidR="00CB170B">
        <w:t>przyjmuje do publikacji artykuły</w:t>
      </w:r>
      <w:r>
        <w:t xml:space="preserve"> naukowe dotyczące problematyki wyceny nieruchomości oraz problemów pokrewnych jak np. funkcjonowanie rynku </w:t>
      </w:r>
      <w:r w:rsidR="00CB170B">
        <w:t>nieruchomości, analiza rynku, finansowanie nieruchomości, architektura, budownictwo, ochrona środowiska, prawo</w:t>
      </w:r>
      <w:r>
        <w:t xml:space="preserve"> gospodar</w:t>
      </w:r>
      <w:r w:rsidR="00CB170B">
        <w:t>ki nieruchomościami, zarządzanie nieruchomościami, inwestowanie</w:t>
      </w:r>
      <w:r>
        <w:t xml:space="preserve"> w nieruchomości itp.</w:t>
      </w:r>
      <w:r w:rsidR="005C279D">
        <w:t>, a także artykuły</w:t>
      </w:r>
      <w:r>
        <w:t xml:space="preserve"> o charakterze przeglądowym i infor</w:t>
      </w:r>
      <w:r w:rsidR="00CB170B">
        <w:t>macyjnym dotyczące</w:t>
      </w:r>
      <w:r>
        <w:t xml:space="preserve"> </w:t>
      </w:r>
      <w:r w:rsidR="0090422E">
        <w:t xml:space="preserve">działalności rzeczoznawców majątkowych i </w:t>
      </w:r>
      <w:r>
        <w:t>organizacji zawodowych rzeczoznawców majątkowych</w:t>
      </w:r>
      <w:r w:rsidR="0090422E">
        <w:t>.</w:t>
      </w:r>
    </w:p>
    <w:p w:rsidR="003A4E4F" w:rsidRDefault="0090422E" w:rsidP="0090422E">
      <w:pPr>
        <w:jc w:val="both"/>
      </w:pPr>
      <w:r>
        <w:t>Wymogi s</w:t>
      </w:r>
      <w:r w:rsidR="003A4E4F">
        <w:t>zczegółowe</w:t>
      </w:r>
      <w:r>
        <w:t xml:space="preserve"> dot. artykułów naukowych</w:t>
      </w:r>
    </w:p>
    <w:p w:rsidR="003A4E4F" w:rsidRDefault="003A4E4F" w:rsidP="0090422E">
      <w:pPr>
        <w:pStyle w:val="Akapitzlist"/>
        <w:numPr>
          <w:ilvl w:val="0"/>
          <w:numId w:val="1"/>
        </w:numPr>
        <w:jc w:val="both"/>
      </w:pPr>
      <w:r>
        <w:t>Rekomendowana objętość artykułów</w:t>
      </w:r>
      <w:r w:rsidR="00CB170B">
        <w:t>:</w:t>
      </w:r>
      <w:r>
        <w:t xml:space="preserve"> 10.000 – 20.000 znaków. Artykuły o innej objętości mogą być przyjęte do druku, jeśli jest to uzasadnione względami merytorycznymi.</w:t>
      </w:r>
    </w:p>
    <w:p w:rsidR="003A4E4F" w:rsidRDefault="003A4E4F" w:rsidP="0090422E">
      <w:pPr>
        <w:pStyle w:val="Akapitzlist"/>
        <w:numPr>
          <w:ilvl w:val="0"/>
          <w:numId w:val="1"/>
        </w:numPr>
        <w:jc w:val="both"/>
      </w:pPr>
      <w:r>
        <w:t xml:space="preserve">Artykuł powinien zawierać streszczenie oraz słowa kluczowe w języku polskim i angielskim na początku artykułu. </w:t>
      </w:r>
      <w:r w:rsidR="00FA1125">
        <w:t xml:space="preserve">Jeśli autor nie zamieści streszczenia i słów kluczowych w języku angielskim, tłumaczenie zostanie dokonane przez redakcję. </w:t>
      </w:r>
      <w:r>
        <w:t>Na końcu artykułu</w:t>
      </w:r>
      <w:r w:rsidR="00177DD7">
        <w:t xml:space="preserve"> należy zamieścić bibliografię</w:t>
      </w:r>
      <w:r w:rsidR="0090422E">
        <w:t xml:space="preserve"> </w:t>
      </w:r>
      <w:r w:rsidR="0090422E" w:rsidRPr="0090422E">
        <w:t>w porządku alfabetycznym</w:t>
      </w:r>
      <w:r w:rsidR="00177DD7">
        <w:t>.</w:t>
      </w:r>
    </w:p>
    <w:p w:rsidR="0090422E" w:rsidRDefault="0090422E" w:rsidP="0090422E">
      <w:pPr>
        <w:pStyle w:val="Akapitzlist"/>
        <w:numPr>
          <w:ilvl w:val="0"/>
          <w:numId w:val="1"/>
        </w:numPr>
        <w:jc w:val="both"/>
      </w:pPr>
      <w:r>
        <w:t>Zaleca się podzielenie artykułu na wyodrębnione części, np.: Wprowadzenie, Metody badawcze, Wyniki i dyskusja, Podsumowanie itp.</w:t>
      </w:r>
    </w:p>
    <w:p w:rsidR="003A4E4F" w:rsidRDefault="003A4E4F" w:rsidP="0090422E">
      <w:pPr>
        <w:pStyle w:val="Akapitzlist"/>
        <w:numPr>
          <w:ilvl w:val="0"/>
          <w:numId w:val="1"/>
        </w:numPr>
        <w:jc w:val="both"/>
      </w:pPr>
      <w:r>
        <w:t>Format pliku – dokument programu Word.</w:t>
      </w:r>
    </w:p>
    <w:p w:rsidR="003A4E4F" w:rsidRDefault="003A4E4F" w:rsidP="0090422E">
      <w:pPr>
        <w:pStyle w:val="Akapitzlist"/>
        <w:numPr>
          <w:ilvl w:val="0"/>
          <w:numId w:val="1"/>
        </w:numPr>
        <w:jc w:val="both"/>
      </w:pPr>
      <w:r>
        <w:t>Redakcja samodzielnie dokonuje formatowania tekstu.</w:t>
      </w:r>
    </w:p>
    <w:p w:rsidR="003A4E4F" w:rsidRDefault="003A4E4F" w:rsidP="0090422E">
      <w:pPr>
        <w:pStyle w:val="Akapitzlist"/>
        <w:numPr>
          <w:ilvl w:val="0"/>
          <w:numId w:val="1"/>
        </w:numPr>
        <w:jc w:val="both"/>
      </w:pPr>
      <w:r>
        <w:t>Wykresy i rysunki powinny być wklejone w tekst jako obiekt graficzny oraz dodatkowo przesłane jako odrębne pliki w programie</w:t>
      </w:r>
      <w:r w:rsidR="00CB170B">
        <w:t>,</w:t>
      </w:r>
      <w:r>
        <w:t xml:space="preserve"> w którym zostały wykonane.</w:t>
      </w:r>
    </w:p>
    <w:p w:rsidR="003A4E4F" w:rsidRDefault="003A4E4F" w:rsidP="0090422E">
      <w:pPr>
        <w:pStyle w:val="Akapitzlist"/>
        <w:numPr>
          <w:ilvl w:val="0"/>
          <w:numId w:val="1"/>
        </w:numPr>
        <w:jc w:val="both"/>
      </w:pPr>
      <w:r>
        <w:t>Wszelkie o</w:t>
      </w:r>
      <w:r w:rsidR="00177DD7">
        <w:t>dwołania należy umieszczać jako przypisy końcowe.</w:t>
      </w:r>
    </w:p>
    <w:p w:rsidR="00FA1125" w:rsidRDefault="00FA1125" w:rsidP="0090422E">
      <w:pPr>
        <w:pStyle w:val="Akapitzlist"/>
        <w:numPr>
          <w:ilvl w:val="0"/>
          <w:numId w:val="1"/>
        </w:numPr>
        <w:jc w:val="both"/>
      </w:pPr>
      <w:r>
        <w:t>Bibliografia powinna być opracowana wg. schematu:</w:t>
      </w:r>
    </w:p>
    <w:p w:rsidR="00F43C27" w:rsidRPr="00F12404" w:rsidRDefault="00F43C27" w:rsidP="00F43C27">
      <w:pPr>
        <w:ind w:left="993"/>
        <w:jc w:val="both"/>
        <w:rPr>
          <w:rFonts w:cstheme="minorHAnsi"/>
        </w:rPr>
      </w:pPr>
      <w:r w:rsidRPr="00F12404">
        <w:rPr>
          <w:rFonts w:cstheme="minorHAnsi"/>
        </w:rPr>
        <w:t xml:space="preserve">Nowak A. (rok). </w:t>
      </w:r>
      <w:r w:rsidRPr="00F12404">
        <w:rPr>
          <w:rFonts w:cstheme="minorHAnsi"/>
          <w:i/>
        </w:rPr>
        <w:t>Tytuł książki</w:t>
      </w:r>
      <w:r w:rsidR="009D4241">
        <w:rPr>
          <w:rFonts w:cstheme="minorHAnsi"/>
        </w:rPr>
        <w:t>.</w:t>
      </w:r>
      <w:r w:rsidRPr="00F12404">
        <w:rPr>
          <w:rFonts w:cstheme="minorHAnsi"/>
        </w:rPr>
        <w:t xml:space="preserve"> Wydawnictwo</w:t>
      </w:r>
      <w:r w:rsidR="009D4241">
        <w:rPr>
          <w:rFonts w:cstheme="minorHAnsi"/>
        </w:rPr>
        <w:t>,</w:t>
      </w:r>
      <w:r w:rsidR="009D4241" w:rsidRPr="009D4241">
        <w:rPr>
          <w:rFonts w:cstheme="minorHAnsi"/>
        </w:rPr>
        <w:t xml:space="preserve"> </w:t>
      </w:r>
      <w:r w:rsidR="009D4241">
        <w:rPr>
          <w:rFonts w:cstheme="minorHAnsi"/>
        </w:rPr>
        <w:t>Miejsce wydania</w:t>
      </w:r>
      <w:r w:rsidRPr="00F12404">
        <w:rPr>
          <w:rFonts w:cstheme="minorHAnsi"/>
        </w:rPr>
        <w:t>.</w:t>
      </w:r>
    </w:p>
    <w:p w:rsidR="00F43C27" w:rsidRPr="00F12404" w:rsidRDefault="00F43C27" w:rsidP="00F43C27">
      <w:pPr>
        <w:ind w:left="993"/>
        <w:jc w:val="both"/>
        <w:rPr>
          <w:rFonts w:cstheme="minorHAnsi"/>
        </w:rPr>
      </w:pPr>
      <w:r w:rsidRPr="00F12404">
        <w:rPr>
          <w:rFonts w:eastAsia="MinionPro-Regular" w:cstheme="minorHAnsi"/>
        </w:rPr>
        <w:t>Nowak A. (rok).</w:t>
      </w:r>
      <w:r w:rsidRPr="00F12404">
        <w:rPr>
          <w:rFonts w:eastAsia="MinionPro-Regular" w:cstheme="minorHAnsi"/>
          <w:i/>
        </w:rPr>
        <w:t>Tytuł artykułu</w:t>
      </w:r>
      <w:r w:rsidRPr="00F12404">
        <w:rPr>
          <w:rFonts w:eastAsia="MinionPro-Regular" w:cstheme="minorHAnsi"/>
        </w:rPr>
        <w:t xml:space="preserve">. </w:t>
      </w:r>
      <w:r w:rsidRPr="00F12404">
        <w:rPr>
          <w:rFonts w:eastAsia="MinionPro-Regular" w:cstheme="minorHAnsi"/>
          <w:iCs/>
        </w:rPr>
        <w:t>Tytuł Czasopisma</w:t>
      </w:r>
      <w:r w:rsidRPr="00F12404">
        <w:rPr>
          <w:rFonts w:eastAsia="MinionPro-Regular" w:cstheme="minorHAnsi"/>
          <w:i/>
          <w:iCs/>
        </w:rPr>
        <w:t xml:space="preserve">, nr rocznika </w:t>
      </w:r>
      <w:r w:rsidRPr="00F12404">
        <w:rPr>
          <w:rFonts w:eastAsia="MinionPro-Regular" w:cstheme="minorHAnsi"/>
        </w:rPr>
        <w:t>(nr zeszytu).</w:t>
      </w:r>
    </w:p>
    <w:p w:rsidR="0090422E" w:rsidRDefault="0090422E" w:rsidP="0090422E">
      <w:pPr>
        <w:pStyle w:val="Akapitzlist"/>
        <w:numPr>
          <w:ilvl w:val="0"/>
          <w:numId w:val="1"/>
        </w:numPr>
        <w:jc w:val="both"/>
      </w:pPr>
      <w:r>
        <w:t>Do artykułu należy dołączyć wypełnione oświadczenie autora.</w:t>
      </w:r>
      <w:r w:rsidR="005805A7">
        <w:t xml:space="preserve"> W oświadczeniu autor określa, czy chce by zgłaszany tekst został poddany recenzji.</w:t>
      </w:r>
      <w:r w:rsidR="00BE002B">
        <w:t xml:space="preserve"> Do artykułów recenzowanych autor może zaproponować recenzentów. Redakcja nie jest związana propozycją recenzentów zgłoszoną przez autora.</w:t>
      </w:r>
    </w:p>
    <w:p w:rsidR="005805A7" w:rsidRDefault="005805A7" w:rsidP="005805A7">
      <w:pPr>
        <w:ind w:left="360"/>
        <w:jc w:val="both"/>
      </w:pPr>
    </w:p>
    <w:p w:rsidR="0090422E" w:rsidRDefault="0090422E" w:rsidP="0090422E">
      <w:pPr>
        <w:jc w:val="both"/>
      </w:pPr>
      <w:r>
        <w:t>A</w:t>
      </w:r>
      <w:r w:rsidRPr="0090422E">
        <w:t xml:space="preserve">rtykuły </w:t>
      </w:r>
      <w:r>
        <w:t>naukowe podlegają recenzji</w:t>
      </w:r>
      <w:r w:rsidR="005C279D">
        <w:t xml:space="preserve"> przez dwóch</w:t>
      </w:r>
      <w:r w:rsidRPr="0090422E">
        <w:t xml:space="preserve"> niezależnych recenzentów w tzw. formule „</w:t>
      </w:r>
      <w:proofErr w:type="spellStart"/>
      <w:r w:rsidRPr="0090422E">
        <w:t>double</w:t>
      </w:r>
      <w:proofErr w:type="spellEnd"/>
      <w:r w:rsidRPr="0090422E">
        <w:t xml:space="preserve">-blind </w:t>
      </w:r>
      <w:proofErr w:type="spellStart"/>
      <w:r w:rsidRPr="0090422E">
        <w:t>review</w:t>
      </w:r>
      <w:proofErr w:type="spellEnd"/>
      <w:r w:rsidRPr="0090422E">
        <w:t xml:space="preserve"> </w:t>
      </w:r>
      <w:proofErr w:type="spellStart"/>
      <w:r w:rsidRPr="0090422E">
        <w:t>proces</w:t>
      </w:r>
      <w:r w:rsidR="00CB170B">
        <w:t>s</w:t>
      </w:r>
      <w:proofErr w:type="spellEnd"/>
      <w:r w:rsidRPr="0090422E">
        <w:t>”</w:t>
      </w:r>
      <w:r>
        <w:t xml:space="preserve">. </w:t>
      </w:r>
      <w:r w:rsidR="005805A7">
        <w:t>Publikowane są artykuły, które uzyskały dwie pozytywne recenzje. Artykuły, które uzyskały jedną pozytywną recenzję mogą być opublikowane decyzją redaktora naczelnego, który będzie kierował się szczegółowymi uwagami recenzentów</w:t>
      </w:r>
      <w:r w:rsidR="006C077B">
        <w:t xml:space="preserve"> lub opiniami członków Rady Naukowej</w:t>
      </w:r>
      <w:bookmarkStart w:id="0" w:name="_GoBack"/>
      <w:bookmarkEnd w:id="0"/>
      <w:r w:rsidR="005805A7">
        <w:t>. Informacja o poddaniu artykułu procedurze recenzji będzie ujawniona w kwartalniku. Przy artykułach nie podlegających recenzji będzie zawarta informacja, że artykuł jest nierecenzowany i prezentuje poglądy autora.</w:t>
      </w:r>
      <w:r w:rsidR="00BE002B">
        <w:t xml:space="preserve"> Redakcja zastrzega sobie prawo do odmowy publikacji artykułów zgłaszanych jako niepodlegających recenzji.</w:t>
      </w:r>
    </w:p>
    <w:p w:rsidR="0090422E" w:rsidRDefault="0090422E" w:rsidP="0090422E">
      <w:pPr>
        <w:jc w:val="both"/>
      </w:pPr>
      <w:r>
        <w:t>Przed publikacją artykuły są poddawane korekcie językowej. Redakcja zastrzega sobie prawo do skracania tekstów</w:t>
      </w:r>
      <w:r w:rsidR="00BF5B8C">
        <w:t xml:space="preserve"> i zmiany tytułu artykułu</w:t>
      </w:r>
      <w:r w:rsidR="00FA1125">
        <w:t xml:space="preserve"> – propozycje w tym zakresie </w:t>
      </w:r>
      <w:r w:rsidR="00F12404">
        <w:t>będą</w:t>
      </w:r>
      <w:r w:rsidR="00FA1125">
        <w:t xml:space="preserve"> przedstawione autorom przed przesłaniem artykułu do recenzji</w:t>
      </w:r>
      <w:r w:rsidR="00BF5B8C">
        <w:t>.</w:t>
      </w:r>
    </w:p>
    <w:sectPr w:rsidR="0090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42F0F"/>
    <w:multiLevelType w:val="hybridMultilevel"/>
    <w:tmpl w:val="4F829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4F"/>
    <w:rsid w:val="00177DD7"/>
    <w:rsid w:val="003A4E4F"/>
    <w:rsid w:val="005805A7"/>
    <w:rsid w:val="005C279D"/>
    <w:rsid w:val="006C077B"/>
    <w:rsid w:val="0090422E"/>
    <w:rsid w:val="009D4241"/>
    <w:rsid w:val="00B55040"/>
    <w:rsid w:val="00BE002B"/>
    <w:rsid w:val="00BF5B8C"/>
    <w:rsid w:val="00CB170B"/>
    <w:rsid w:val="00DB10B8"/>
    <w:rsid w:val="00E46C95"/>
    <w:rsid w:val="00EE2FF2"/>
    <w:rsid w:val="00F12404"/>
    <w:rsid w:val="00F43C27"/>
    <w:rsid w:val="00FA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6FB76-0608-48E9-8458-4B89CB28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Kokot</dc:creator>
  <cp:keywords/>
  <dc:description/>
  <cp:lastModifiedBy>Sebastian Kokot</cp:lastModifiedBy>
  <cp:revision>7</cp:revision>
  <dcterms:created xsi:type="dcterms:W3CDTF">2017-01-30T10:43:00Z</dcterms:created>
  <dcterms:modified xsi:type="dcterms:W3CDTF">2017-02-16T10:47:00Z</dcterms:modified>
</cp:coreProperties>
</file>